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</w:t>
            </w:r>
            <w:r w:rsidR="00D00F8B" w:rsidRPr="00896A49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896A49">
              <w:rPr>
                <w:rFonts w:cstheme="minorHAnsi"/>
                <w:sz w:val="20"/>
                <w:szCs w:val="20"/>
              </w:rPr>
              <w:t>recall of multiplication</w:t>
            </w:r>
            <w:r w:rsidRPr="00896A49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practis</w:t>
            </w:r>
            <w:r w:rsidR="00487058" w:rsidRPr="00896A49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896A49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896A49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896A49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8C02EB" w:rsidRPr="0011540A" w:rsidRDefault="008C02EB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6 - addresses bonuses boxes coaches compasses dictionaries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knees.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Jumping Jacks.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Hop on one foot, now on the other!</w:t>
            </w:r>
          </w:p>
          <w:p w:rsidR="00D00F8B" w:rsidRPr="0031660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Jump!</w:t>
            </w:r>
          </w:p>
        </w:tc>
      </w:tr>
      <w:tr w:rsidR="00D00F8B" w:rsidRPr="0031660B" w:rsidTr="00862F56">
        <w:trPr>
          <w:trHeight w:val="901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62F56">
              <w:rPr>
                <w:rFonts w:cstheme="minorHAnsi"/>
                <w:sz w:val="20"/>
                <w:szCs w:val="20"/>
              </w:rPr>
              <w:t xml:space="preserve">To engage with a text.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862F56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862F56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862F56" w:rsidRDefault="00341E06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6" w:history="1">
              <w:r w:rsidR="00862F56" w:rsidRPr="00862F56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https://classroom.thenational.academy/lessons/to-engage-with-the-text-6th62r</w:t>
              </w:r>
            </w:hyperlink>
          </w:p>
          <w:p w:rsidR="00862F56" w:rsidRPr="00862F56" w:rsidRDefault="00862F56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862F56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35FA7">
              <w:rPr>
                <w:rFonts w:cstheme="minorHAnsi"/>
                <w:sz w:val="20"/>
                <w:szCs w:val="20"/>
              </w:rPr>
              <w:t xml:space="preserve">To adjust addends. </w:t>
            </w:r>
          </w:p>
        </w:tc>
        <w:tc>
          <w:tcPr>
            <w:tcW w:w="7499" w:type="dxa"/>
          </w:tcPr>
          <w:p w:rsidR="00D00F8B" w:rsidRPr="00835FA7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835FA7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835FA7" w:rsidRDefault="00341E06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835FA7" w:rsidRPr="00835FA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https://classroom.thenational.academy/lessons/adjusting-addends-c5gpct</w:t>
              </w:r>
            </w:hyperlink>
          </w:p>
          <w:p w:rsidR="00835FA7" w:rsidRPr="00835FA7" w:rsidRDefault="00835FA7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7720E2" w:rsidRDefault="007720E2" w:rsidP="007720E2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D00F8B" w:rsidRDefault="00341E06" w:rsidP="00896A49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78428C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8428C" w:rsidRPr="0031660B" w:rsidRDefault="0078428C" w:rsidP="00896A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AF" w:rsidRPr="0031660B" w:rsidTr="004373AF">
        <w:trPr>
          <w:trHeight w:val="915"/>
        </w:trPr>
        <w:tc>
          <w:tcPr>
            <w:tcW w:w="1129" w:type="dxa"/>
            <w:shd w:val="clear" w:color="auto" w:fill="auto"/>
          </w:tcPr>
          <w:p w:rsidR="004373AF" w:rsidRPr="00BB796B" w:rsidRDefault="004373AF" w:rsidP="004373A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4373AF" w:rsidRPr="00BB796B" w:rsidRDefault="004373AF" w:rsidP="004373A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PE</w:t>
            </w:r>
          </w:p>
        </w:tc>
        <w:tc>
          <w:tcPr>
            <w:tcW w:w="1901" w:type="dxa"/>
            <w:shd w:val="clear" w:color="auto" w:fill="auto"/>
          </w:tcPr>
          <w:p w:rsidR="004373AF" w:rsidRPr="00BB796B" w:rsidRDefault="004373AF" w:rsidP="004373A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 </w:t>
            </w:r>
            <w:r w:rsidRPr="00896A49">
              <w:rPr>
                <w:sz w:val="20"/>
                <w:szCs w:val="20"/>
              </w:rPr>
              <w:t>LO: To develop my fitness and flexibility.</w:t>
            </w:r>
          </w:p>
        </w:tc>
        <w:tc>
          <w:tcPr>
            <w:tcW w:w="7499" w:type="dxa"/>
            <w:shd w:val="clear" w:color="auto" w:fill="auto"/>
          </w:tcPr>
          <w:p w:rsidR="004373AF" w:rsidRPr="00BB796B" w:rsidRDefault="004373AF" w:rsidP="004373AF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Use the links below to develop your fitness and flexibility!</w:t>
            </w:r>
          </w:p>
          <w:p w:rsidR="004373AF" w:rsidRPr="001A64AB" w:rsidRDefault="00341E06" w:rsidP="004373AF">
            <w:pPr>
              <w:rPr>
                <w:sz w:val="16"/>
                <w:szCs w:val="16"/>
              </w:rPr>
            </w:pPr>
            <w:hyperlink r:id="rId9" w:history="1">
              <w:r w:rsidR="004373AF" w:rsidRPr="001A64AB">
                <w:rPr>
                  <w:rStyle w:val="Hyperlink"/>
                  <w:sz w:val="16"/>
                  <w:szCs w:val="16"/>
                </w:rPr>
                <w:t>https://www.youtube.com/watch?v=JnXMbE9tHlw</w:t>
              </w:r>
            </w:hyperlink>
          </w:p>
          <w:p w:rsidR="004373AF" w:rsidRPr="00BB796B" w:rsidRDefault="00341E06" w:rsidP="004373AF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373AF" w:rsidRPr="001A64AB">
                <w:rPr>
                  <w:rStyle w:val="Hyperlink"/>
                  <w:sz w:val="16"/>
                  <w:szCs w:val="16"/>
                </w:rPr>
                <w:t>https://www.youtube.com/watch?v=cRjO1IGwbLo&amp;list=PLYGRaluWWTojV3An2WEgsQ4qGFy_91jDL&amp;index=7</w:t>
              </w:r>
            </w:hyperlink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896A49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practis</w:t>
            </w:r>
            <w:r w:rsidR="00487058" w:rsidRPr="00896A49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8C02EB" w:rsidRDefault="008C02EB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6 - addresses bonuses boxes coaches compasses dictionaries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A879F4" w:rsidRPr="0031660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 and twist, put your favourite song on and dance!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896A49" w:rsidRPr="0031660B" w:rsidRDefault="00A879F4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62F56">
              <w:rPr>
                <w:rFonts w:cstheme="minorHAnsi"/>
                <w:sz w:val="20"/>
                <w:szCs w:val="20"/>
              </w:rPr>
              <w:t xml:space="preserve">To analyse a setting.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862F56" w:rsidRDefault="00341E06" w:rsidP="00A879F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1" w:history="1">
              <w:r w:rsidR="00862F56" w:rsidRPr="00862F56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https://classroom.thenational.academy/lessons/to-analyse-setting-c9j3ec</w:t>
              </w:r>
            </w:hyperlink>
          </w:p>
          <w:p w:rsidR="00862F56" w:rsidRPr="0031660B" w:rsidRDefault="00862F56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A879F4" w:rsidRPr="0031660B" w:rsidRDefault="00A879F4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2336F">
              <w:rPr>
                <w:rFonts w:cstheme="minorHAnsi"/>
                <w:sz w:val="20"/>
                <w:szCs w:val="20"/>
              </w:rPr>
              <w:t xml:space="preserve">To do the same sum with larger numbers. </w:t>
            </w:r>
          </w:p>
        </w:tc>
        <w:tc>
          <w:tcPr>
            <w:tcW w:w="7557" w:type="dxa"/>
          </w:tcPr>
          <w:p w:rsidR="00A879F4" w:rsidRPr="0082336F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82336F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82336F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2" w:history="1">
              <w:r w:rsidR="0082336F" w:rsidRPr="0082336F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https://classroom.thenational.academy/lessons/same-sum-with-larger-numbers-ccw68d</w:t>
              </w:r>
            </w:hyperlink>
          </w:p>
          <w:p w:rsidR="0082336F" w:rsidRPr="0082336F" w:rsidRDefault="0082336F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7720E2" w:rsidRDefault="007720E2" w:rsidP="007720E2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A879F4" w:rsidRDefault="00341E06" w:rsidP="00A879F4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78428C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8428C" w:rsidRPr="0031660B" w:rsidRDefault="0078428C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879F4" w:rsidRPr="0031660B" w:rsidRDefault="0094218A" w:rsidP="00A879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246DEC">
              <w:rPr>
                <w:rFonts w:cstheme="minorHAnsi"/>
                <w:sz w:val="20"/>
                <w:szCs w:val="20"/>
              </w:rPr>
              <w:t xml:space="preserve">To understand how searches are influenced. </w:t>
            </w:r>
          </w:p>
        </w:tc>
        <w:tc>
          <w:tcPr>
            <w:tcW w:w="7557" w:type="dxa"/>
            <w:shd w:val="clear" w:color="auto" w:fill="auto"/>
          </w:tcPr>
          <w:p w:rsidR="00A879F4" w:rsidRDefault="00A879F4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</w:t>
            </w:r>
            <w:r w:rsidR="00246DEC">
              <w:rPr>
                <w:rFonts w:cstheme="minorHAnsi"/>
                <w:sz w:val="20"/>
                <w:szCs w:val="20"/>
              </w:rPr>
              <w:t>:</w:t>
            </w:r>
          </w:p>
          <w:p w:rsidR="00246DEC" w:rsidRPr="00246DEC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246DEC" w:rsidRPr="00246DE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https://classroom.thenational.academy/lessons/how-are-searches-influenced-6gv62d</w:t>
              </w:r>
            </w:hyperlink>
          </w:p>
          <w:p w:rsidR="00246DEC" w:rsidRPr="0031660B" w:rsidRDefault="00246DEC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950AA2">
              <w:rPr>
                <w:rFonts w:cstheme="minorHAnsi"/>
                <w:sz w:val="20"/>
                <w:szCs w:val="20"/>
              </w:rPr>
              <w:t xml:space="preserve">To explore the importance of looking after our teeth. </w:t>
            </w:r>
          </w:p>
        </w:tc>
        <w:tc>
          <w:tcPr>
            <w:tcW w:w="7557" w:type="dxa"/>
            <w:shd w:val="clear" w:color="auto" w:fill="auto"/>
          </w:tcPr>
          <w:p w:rsidR="00A879F4" w:rsidRPr="0031660B" w:rsidRDefault="00A879F4" w:rsidP="00950AA2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950AA2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5" w:history="1">
              <w:r w:rsidR="00950AA2" w:rsidRPr="00950AA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https://classroom.thenational.academy/lessons/pearly-whites-6tjked</w:t>
              </w:r>
            </w:hyperlink>
          </w:p>
          <w:p w:rsidR="00950AA2" w:rsidRPr="0031660B" w:rsidRDefault="00950AA2" w:rsidP="00896A4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practis</w:t>
            </w:r>
            <w:r w:rsidR="00487058" w:rsidRPr="00896A49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C02EB" w:rsidRPr="0011540A" w:rsidRDefault="008C02EB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6 - addresses bonuses boxes coaches compasses dictionaries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 up and off we go: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 up into the air three times and then turn to the left and turn to the right!</w:t>
            </w:r>
          </w:p>
          <w:p w:rsidR="00B30BAB" w:rsidRPr="0031660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REPEAT!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896A49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81EE1">
              <w:rPr>
                <w:rFonts w:cstheme="minorHAnsi"/>
                <w:sz w:val="20"/>
                <w:szCs w:val="20"/>
              </w:rPr>
              <w:t xml:space="preserve">To analyse a character.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F81EE1" w:rsidRDefault="00341E0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="00F81EE1" w:rsidRPr="00F81EE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https://classroom.thenational.academy/lessons/to-analyse-character-part-1-69k30t</w:t>
              </w:r>
            </w:hyperlink>
          </w:p>
          <w:p w:rsidR="00F81EE1" w:rsidRPr="00D37EF9" w:rsidRDefault="00F81EE1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D5C23">
              <w:rPr>
                <w:rFonts w:cstheme="minorHAnsi"/>
                <w:sz w:val="20"/>
                <w:szCs w:val="20"/>
              </w:rPr>
              <w:t xml:space="preserve">To extend the ‘same sum’ strategy to decimals. </w:t>
            </w:r>
          </w:p>
        </w:tc>
        <w:tc>
          <w:tcPr>
            <w:tcW w:w="7482" w:type="dxa"/>
          </w:tcPr>
          <w:p w:rsidR="00B30BAB" w:rsidRPr="006D5C23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6D5C23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D5C23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6D5C23" w:rsidRPr="006D5C23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https://classroom.thenational.academy/lessons/same-sum-with-decimals-6xh3jd</w:t>
              </w:r>
            </w:hyperlink>
          </w:p>
          <w:p w:rsidR="006D5C23" w:rsidRPr="006D5C23" w:rsidRDefault="006D5C23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7720E2" w:rsidRDefault="00B30BAB" w:rsidP="007720E2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7720E2" w:rsidRPr="00FF549D">
              <w:rPr>
                <w:rFonts w:cstheme="minorHAnsi"/>
                <w:sz w:val="20"/>
                <w:szCs w:val="20"/>
              </w:rPr>
              <w:t xml:space="preserve"> Follow the link</w:t>
            </w:r>
            <w:r w:rsidR="007720E2">
              <w:rPr>
                <w:rFonts w:cstheme="minorHAnsi"/>
                <w:sz w:val="20"/>
                <w:szCs w:val="20"/>
              </w:rPr>
              <w:t xml:space="preserve"> to Robinson Crusoe</w:t>
            </w:r>
            <w:r w:rsidR="007720E2"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341E06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="0078428C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8428C" w:rsidRPr="0031660B" w:rsidRDefault="0078428C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E55BE9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6431E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Computing 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1A0CA8">
              <w:rPr>
                <w:rFonts w:cstheme="minorHAnsi"/>
                <w:sz w:val="20"/>
                <w:szCs w:val="20"/>
              </w:rPr>
              <w:t xml:space="preserve">To explore how we communicate. </w:t>
            </w:r>
          </w:p>
        </w:tc>
        <w:tc>
          <w:tcPr>
            <w:tcW w:w="7482" w:type="dxa"/>
            <w:shd w:val="clear" w:color="auto" w:fill="auto"/>
          </w:tcPr>
          <w:p w:rsidR="00B30BAB" w:rsidRPr="001A0CA8" w:rsidRDefault="006431E6" w:rsidP="00896A49">
            <w:pPr>
              <w:rPr>
                <w:rFonts w:cstheme="minorHAnsi"/>
                <w:sz w:val="20"/>
                <w:szCs w:val="20"/>
              </w:rPr>
            </w:pPr>
            <w:r w:rsidRPr="001A0CA8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1A0CA8" w:rsidRPr="001A0CA8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1A0CA8" w:rsidRPr="001A0CA8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https://classroom.thenational.academy/lessons/how-we-communicate-ccr3ar</w:t>
              </w:r>
            </w:hyperlink>
          </w:p>
          <w:p w:rsidR="001A0CA8" w:rsidRPr="001A0CA8" w:rsidRDefault="001A0CA8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practis</w:t>
            </w:r>
            <w:r w:rsidR="00487058" w:rsidRPr="00896A49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8C02EB" w:rsidRDefault="008C02EB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6 - addresses bonuses boxes coaches compasses dictionaries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Skip for one minute.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Bounce up and down for one minute.</w:t>
            </w:r>
          </w:p>
          <w:p w:rsidR="008C02E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 sideways for one minute.</w:t>
            </w:r>
          </w:p>
          <w:p w:rsidR="00B30BAB" w:rsidRPr="0031660B" w:rsidRDefault="008C02EB" w:rsidP="008C02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Jog on the spot for one minute! Repeat!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05EC8">
              <w:rPr>
                <w:rFonts w:cstheme="minorHAnsi"/>
                <w:sz w:val="20"/>
                <w:szCs w:val="20"/>
              </w:rPr>
              <w:t xml:space="preserve">To analyse a character.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E05EC8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E05EC8" w:rsidRPr="00E05EC8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https://classroom.thenational.academy/lessons/to-analyse-character-part-2-60r68e</w:t>
              </w:r>
            </w:hyperlink>
          </w:p>
          <w:p w:rsidR="00E05EC8" w:rsidRPr="0031660B" w:rsidRDefault="00E05EC8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E6B0A">
              <w:rPr>
                <w:rFonts w:cstheme="minorHAnsi"/>
                <w:sz w:val="20"/>
                <w:szCs w:val="20"/>
              </w:rPr>
              <w:t xml:space="preserve">To balance equations using the same sum strategy.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DE6B0A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1" w:history="1">
              <w:r w:rsidR="00DE6B0A" w:rsidRPr="00DE6B0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https://classroom.thenational.academy/lessons/balancing-equations-using-the-same-sum-strategy-65hkct</w:t>
              </w:r>
            </w:hyperlink>
          </w:p>
          <w:p w:rsidR="00DE6B0A" w:rsidRPr="0031660B" w:rsidRDefault="00DE6B0A" w:rsidP="00896A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7720E2" w:rsidRDefault="007720E2" w:rsidP="007720E2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341E06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2" w:history="1">
              <w:r w:rsidR="0078428C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8428C" w:rsidRPr="0031660B" w:rsidRDefault="0078428C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Default="00DC13ED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  <w:p w:rsidR="00DC13ED" w:rsidRPr="0031660B" w:rsidRDefault="00DC13ED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DC13E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EB1EC2">
              <w:rPr>
                <w:rFonts w:cstheme="minorHAnsi"/>
                <w:sz w:val="20"/>
                <w:szCs w:val="20"/>
              </w:rPr>
              <w:t xml:space="preserve">To explore how we can ensure we communicate responsibly. </w:t>
            </w:r>
          </w:p>
        </w:tc>
        <w:tc>
          <w:tcPr>
            <w:tcW w:w="7493" w:type="dxa"/>
            <w:shd w:val="clear" w:color="auto" w:fill="auto"/>
          </w:tcPr>
          <w:p w:rsidR="00896A49" w:rsidRPr="00EB1EC2" w:rsidRDefault="00B30BAB" w:rsidP="00896A4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B1EC2">
              <w:rPr>
                <w:rFonts w:cstheme="minorHAnsi"/>
                <w:sz w:val="20"/>
                <w:szCs w:val="20"/>
              </w:rPr>
              <w:t>Follow the link below</w:t>
            </w:r>
            <w:r w:rsidR="00EB1EC2" w:rsidRPr="00EB1EC2">
              <w:rPr>
                <w:rFonts w:cstheme="minorHAnsi"/>
                <w:color w:val="434343"/>
                <w:sz w:val="20"/>
                <w:szCs w:val="20"/>
                <w:lang w:val="en"/>
              </w:rPr>
              <w:t>:</w:t>
            </w:r>
          </w:p>
          <w:p w:rsidR="00EB1EC2" w:rsidRPr="00EB1EC2" w:rsidRDefault="00341E06" w:rsidP="00896A49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3" w:history="1">
              <w:r w:rsidR="00EB1EC2" w:rsidRPr="00EB1EC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https://classroom.thenational.academy/lessons/communicating-responsibly-65gp8d</w:t>
              </w:r>
            </w:hyperlink>
          </w:p>
          <w:p w:rsidR="00EB1EC2" w:rsidRPr="00EB1EC2" w:rsidRDefault="00EB1EC2" w:rsidP="00896A4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30BAB" w:rsidRPr="00EB1EC2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896A49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711D0">
              <w:rPr>
                <w:rFonts w:cstheme="minorHAnsi"/>
                <w:sz w:val="20"/>
                <w:szCs w:val="20"/>
              </w:rPr>
              <w:t xml:space="preserve">To develop accurate pronunciation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D711D0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711D0" w:rsidRDefault="00341E06" w:rsidP="00B30BAB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711D0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https://www.bbc.co.uk/bitesize/topics/zx3xwnb/articles/zbwq96f</w:t>
              </w:r>
            </w:hyperlink>
          </w:p>
          <w:p w:rsidR="00D711D0" w:rsidRPr="0031660B" w:rsidRDefault="00D711D0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802"/>
        <w:gridCol w:w="7437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</w:t>
            </w:r>
            <w:r w:rsidR="00AE7CC4" w:rsidRPr="00896A49">
              <w:rPr>
                <w:rFonts w:cstheme="minorHAnsi"/>
                <w:sz w:val="20"/>
                <w:szCs w:val="20"/>
              </w:rPr>
              <w:t xml:space="preserve"> To practis</w:t>
            </w:r>
            <w:r w:rsidRPr="00896A49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C02EB" w:rsidRPr="0011540A" w:rsidRDefault="008C02EB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6 - addresses bonuses boxes coaches compasses dictionaries </w:t>
            </w:r>
          </w:p>
          <w:p w:rsidR="00B30BAB" w:rsidRPr="00DC769D" w:rsidRDefault="00B30BAB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896A49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8C02EB" w:rsidRPr="000271AD" w:rsidRDefault="00341E06" w:rsidP="008C02EB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8C02EB" w:rsidRPr="000271A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8C02EB" w:rsidRPr="000271AD" w:rsidRDefault="008C02EB" w:rsidP="008C02E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8C02EB" w:rsidP="008C02EB">
            <w:pPr>
              <w:rPr>
                <w:rFonts w:cstheme="minorHAnsi"/>
                <w:sz w:val="20"/>
                <w:szCs w:val="20"/>
              </w:rPr>
            </w:pPr>
            <w:r w:rsidRPr="000271AD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203D5B">
              <w:rPr>
                <w:rFonts w:cstheme="minorHAnsi"/>
                <w:sz w:val="20"/>
                <w:szCs w:val="20"/>
              </w:rPr>
              <w:t xml:space="preserve">To analyse the </w:t>
            </w:r>
            <w:proofErr w:type="gramStart"/>
            <w:r w:rsidR="00203D5B">
              <w:rPr>
                <w:rFonts w:cstheme="minorHAnsi"/>
                <w:sz w:val="20"/>
                <w:szCs w:val="20"/>
              </w:rPr>
              <w:t>authors</w:t>
            </w:r>
            <w:proofErr w:type="gramEnd"/>
            <w:r w:rsidR="00203D5B">
              <w:rPr>
                <w:rFonts w:cstheme="minorHAnsi"/>
                <w:sz w:val="20"/>
                <w:szCs w:val="20"/>
              </w:rPr>
              <w:t xml:space="preserve"> use of language. </w:t>
            </w:r>
          </w:p>
        </w:tc>
        <w:tc>
          <w:tcPr>
            <w:tcW w:w="7474" w:type="dxa"/>
          </w:tcPr>
          <w:p w:rsidR="00B30BAB" w:rsidRPr="00203D5B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203D5B" w:rsidRPr="00203D5B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203D5B" w:rsidRPr="00203D5B" w:rsidRDefault="00341E0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6" w:history="1">
              <w:r w:rsidR="00203D5B" w:rsidRPr="00203D5B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https://classroom.thenational.academy/lessons/to-analyse-the-authors-use-of-language-c5h3jd</w:t>
              </w:r>
            </w:hyperlink>
          </w:p>
          <w:p w:rsidR="00203D5B" w:rsidRPr="0031660B" w:rsidRDefault="00203D5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896A49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1872C0">
              <w:rPr>
                <w:rFonts w:cstheme="minorHAnsi"/>
                <w:sz w:val="20"/>
                <w:szCs w:val="20"/>
              </w:rPr>
              <w:t xml:space="preserve">To balance equations using compensation.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1872C0" w:rsidRDefault="00341E06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7" w:history="1">
              <w:r w:rsidR="001872C0" w:rsidRPr="001872C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https://classroom.thenational.academy/lessons/balancing-equations-using-compensation-c4uk8e</w:t>
              </w:r>
            </w:hyperlink>
          </w:p>
          <w:p w:rsidR="00B30BAB" w:rsidRPr="00FC1476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7720E2" w:rsidRDefault="007720E2" w:rsidP="007720E2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341E06" w:rsidP="00B30BAB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78428C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8428C" w:rsidRPr="00FC1476" w:rsidRDefault="0078428C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73AF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4373AF" w:rsidRPr="0031660B" w:rsidRDefault="004373AF" w:rsidP="004373A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4373AF" w:rsidRPr="0031660B" w:rsidRDefault="004373AF" w:rsidP="00437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4373AF" w:rsidRPr="0031660B" w:rsidRDefault="004373AF" w:rsidP="004373AF">
            <w:pPr>
              <w:rPr>
                <w:rFonts w:cstheme="minorHAnsi"/>
                <w:sz w:val="20"/>
                <w:szCs w:val="20"/>
              </w:rPr>
            </w:pPr>
            <w:r w:rsidRPr="00896A49">
              <w:rPr>
                <w:rFonts w:cstheme="minorHAnsi"/>
                <w:sz w:val="20"/>
                <w:szCs w:val="20"/>
              </w:rPr>
              <w:t>LO: To create a piece of mindfulness art work.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4373AF" w:rsidRDefault="004373AF" w:rsidP="00437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4373AF" w:rsidRDefault="004373AF" w:rsidP="00437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4373AF" w:rsidRPr="002A624C" w:rsidRDefault="00341E06" w:rsidP="004373AF">
            <w:pPr>
              <w:rPr>
                <w:rFonts w:cstheme="minorHAnsi"/>
                <w:sz w:val="20"/>
                <w:szCs w:val="20"/>
              </w:rPr>
            </w:pPr>
            <w:hyperlink r:id="rId29" w:tgtFrame="_blank" w:history="1">
              <w:r w:rsidR="004373AF" w:rsidRPr="002A624C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https://youtu.be/WeeWcPFB8j8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896A49" w:rsidRDefault="00896A49" w:rsidP="00A879F4">
      <w:pPr>
        <w:jc w:val="center"/>
        <w:rPr>
          <w:rFonts w:cstheme="minorHAnsi"/>
          <w:sz w:val="28"/>
          <w:u w:val="single"/>
        </w:rPr>
      </w:pPr>
    </w:p>
    <w:p w:rsidR="00896A49" w:rsidRDefault="00896A49" w:rsidP="00A879F4">
      <w:pPr>
        <w:jc w:val="center"/>
        <w:rPr>
          <w:rFonts w:cstheme="minorHAnsi"/>
          <w:sz w:val="28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10 × 4 = _____ 9 × 7 = _____ 4 × 12 = _____ 1 × 12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7 × 3 = _____ 7 × 6 = _____ 8 × 11 = _____ 1 × 2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9 × 8 = _____ 1 × 9 = _____ 10 × 9 = _____ 11 × 7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12 × 2 = _____ 10 × 4 = _____ 9 × 2 = _____ 4 × 9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5 × 9 = _____ 5 × 6 = _____ 5 × 11 = _____ 7 × 4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9 × 4 = _____ 9 × 5 = _____ 4 × 3 = _____ 6 × 11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9 × 10 = _____ 12 × 4 = _____ 10 × 3 = _____ 4 × 11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4 × 6 = _____ 4 × 4 = _____ 5 × 4 = _____ 8 × 1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11 × 1 = _____ 3 × 10 = _____ 2 × 9 = _____ 4 × 10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8 × 2 = _____ 2 × 12 = _____ 12 × 3 = _____ 11 × 8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5 × 11 = _____ 12 × 9 = _____ 10 × 2 = _____ 5 × 12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6 × 10 = _____ 3 × 10 = _____ 3 × 9 = _____ 11 × 8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2 × 8 = _____ 6 × 2 = _____ 2 × 4 = _____ 7 × 5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10 × 11 = _____ 2 × 10 = _____ 11 × 10 = _____ 7 × 9 = _____</w:t>
      </w:r>
    </w:p>
    <w:p w:rsidR="008C02EB" w:rsidRPr="00886B2E" w:rsidRDefault="008C02EB" w:rsidP="008C02EB">
      <w:pPr>
        <w:spacing w:line="360" w:lineRule="auto"/>
        <w:jc w:val="center"/>
        <w:rPr>
          <w:rFonts w:cstheme="minorHAnsi"/>
          <w:sz w:val="32"/>
        </w:rPr>
      </w:pPr>
      <w:r w:rsidRPr="00886B2E">
        <w:rPr>
          <w:rFonts w:cstheme="minorHAnsi"/>
          <w:sz w:val="32"/>
        </w:rPr>
        <w:t>3 × 6 = _____ 5 × 5 = _____ 3 × 7 = _____ 7 × 4 = _____</w:t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829CB" w:rsidRPr="0031660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9CB" w:rsidRPr="0031660B" w:rsidSect="00D00F8B">
      <w:headerReference w:type="default" r:id="rId32"/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74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1E06" w:rsidRDefault="00341E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41E06" w:rsidRDefault="0034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8C02EB">
      <w:rPr>
        <w:sz w:val="16"/>
        <w:szCs w:val="16"/>
      </w:rPr>
      <w:t xml:space="preserve"> W/C 08</w:t>
    </w:r>
    <w:r w:rsidR="00DC769D">
      <w:rPr>
        <w:sz w:val="16"/>
        <w:szCs w:val="16"/>
      </w:rPr>
      <w:t>.02</w:t>
    </w:r>
    <w:r>
      <w:rPr>
        <w:sz w:val="16"/>
        <w:szCs w:val="16"/>
      </w:rPr>
      <w:t>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26D30"/>
    <w:rsid w:val="00031105"/>
    <w:rsid w:val="0003157F"/>
    <w:rsid w:val="0003158F"/>
    <w:rsid w:val="00073368"/>
    <w:rsid w:val="000B06C7"/>
    <w:rsid w:val="000B5C69"/>
    <w:rsid w:val="000F53B3"/>
    <w:rsid w:val="0011429E"/>
    <w:rsid w:val="001410F4"/>
    <w:rsid w:val="0014788C"/>
    <w:rsid w:val="00184244"/>
    <w:rsid w:val="001872C0"/>
    <w:rsid w:val="001A0CA8"/>
    <w:rsid w:val="001B1FA9"/>
    <w:rsid w:val="00203D5B"/>
    <w:rsid w:val="00223EA8"/>
    <w:rsid w:val="00236A08"/>
    <w:rsid w:val="002440B4"/>
    <w:rsid w:val="00246DEC"/>
    <w:rsid w:val="00254853"/>
    <w:rsid w:val="0025621C"/>
    <w:rsid w:val="002920FC"/>
    <w:rsid w:val="002B7062"/>
    <w:rsid w:val="002E2965"/>
    <w:rsid w:val="00303602"/>
    <w:rsid w:val="0031660B"/>
    <w:rsid w:val="00334791"/>
    <w:rsid w:val="00341E06"/>
    <w:rsid w:val="0039383C"/>
    <w:rsid w:val="003970D4"/>
    <w:rsid w:val="003A516F"/>
    <w:rsid w:val="003C3229"/>
    <w:rsid w:val="00432C21"/>
    <w:rsid w:val="004373AF"/>
    <w:rsid w:val="00454DD3"/>
    <w:rsid w:val="00466A0B"/>
    <w:rsid w:val="00471D89"/>
    <w:rsid w:val="00484935"/>
    <w:rsid w:val="00487058"/>
    <w:rsid w:val="004A5753"/>
    <w:rsid w:val="00505FED"/>
    <w:rsid w:val="005609CF"/>
    <w:rsid w:val="00564710"/>
    <w:rsid w:val="005907D2"/>
    <w:rsid w:val="005C3EA6"/>
    <w:rsid w:val="005F4AB0"/>
    <w:rsid w:val="006042E0"/>
    <w:rsid w:val="0061445A"/>
    <w:rsid w:val="006431E6"/>
    <w:rsid w:val="00653474"/>
    <w:rsid w:val="00655421"/>
    <w:rsid w:val="006560DF"/>
    <w:rsid w:val="0066698C"/>
    <w:rsid w:val="006755A5"/>
    <w:rsid w:val="006B6BA6"/>
    <w:rsid w:val="006D07AE"/>
    <w:rsid w:val="006D5C23"/>
    <w:rsid w:val="007720E2"/>
    <w:rsid w:val="00775177"/>
    <w:rsid w:val="0078428C"/>
    <w:rsid w:val="00797E56"/>
    <w:rsid w:val="007A02FE"/>
    <w:rsid w:val="007E0D90"/>
    <w:rsid w:val="007F26F4"/>
    <w:rsid w:val="00802DA6"/>
    <w:rsid w:val="0082336F"/>
    <w:rsid w:val="00835FA7"/>
    <w:rsid w:val="00843455"/>
    <w:rsid w:val="00844F57"/>
    <w:rsid w:val="00862427"/>
    <w:rsid w:val="00862F56"/>
    <w:rsid w:val="00880671"/>
    <w:rsid w:val="00896A49"/>
    <w:rsid w:val="008A1B1A"/>
    <w:rsid w:val="008C02EB"/>
    <w:rsid w:val="008C3CB6"/>
    <w:rsid w:val="008F2C07"/>
    <w:rsid w:val="008F6D38"/>
    <w:rsid w:val="00920BF1"/>
    <w:rsid w:val="00924259"/>
    <w:rsid w:val="0094218A"/>
    <w:rsid w:val="00950AA2"/>
    <w:rsid w:val="00961003"/>
    <w:rsid w:val="0096568B"/>
    <w:rsid w:val="009727B7"/>
    <w:rsid w:val="00974435"/>
    <w:rsid w:val="00982ED6"/>
    <w:rsid w:val="00987C41"/>
    <w:rsid w:val="009A3521"/>
    <w:rsid w:val="009D59B7"/>
    <w:rsid w:val="009E6AA2"/>
    <w:rsid w:val="00A00A22"/>
    <w:rsid w:val="00A25F99"/>
    <w:rsid w:val="00A572C2"/>
    <w:rsid w:val="00A665E0"/>
    <w:rsid w:val="00A879F4"/>
    <w:rsid w:val="00A932BB"/>
    <w:rsid w:val="00AE7CC4"/>
    <w:rsid w:val="00B30BAB"/>
    <w:rsid w:val="00B449F9"/>
    <w:rsid w:val="00B829CB"/>
    <w:rsid w:val="00B94DEB"/>
    <w:rsid w:val="00BA71C5"/>
    <w:rsid w:val="00BB4453"/>
    <w:rsid w:val="00C30F34"/>
    <w:rsid w:val="00C46DFF"/>
    <w:rsid w:val="00C64AC2"/>
    <w:rsid w:val="00C70738"/>
    <w:rsid w:val="00C80337"/>
    <w:rsid w:val="00CE639B"/>
    <w:rsid w:val="00CE73ED"/>
    <w:rsid w:val="00D00F8B"/>
    <w:rsid w:val="00D0506E"/>
    <w:rsid w:val="00D37EF9"/>
    <w:rsid w:val="00D711D0"/>
    <w:rsid w:val="00D87DA0"/>
    <w:rsid w:val="00DA176E"/>
    <w:rsid w:val="00DA6FA1"/>
    <w:rsid w:val="00DB69D9"/>
    <w:rsid w:val="00DC13ED"/>
    <w:rsid w:val="00DC769D"/>
    <w:rsid w:val="00DE6B0A"/>
    <w:rsid w:val="00E05EC8"/>
    <w:rsid w:val="00E144BD"/>
    <w:rsid w:val="00E14CD5"/>
    <w:rsid w:val="00E172AA"/>
    <w:rsid w:val="00E55BE9"/>
    <w:rsid w:val="00E60B8F"/>
    <w:rsid w:val="00EA5CF5"/>
    <w:rsid w:val="00EB0BB6"/>
    <w:rsid w:val="00EB1EC2"/>
    <w:rsid w:val="00EC029D"/>
    <w:rsid w:val="00EC4A28"/>
    <w:rsid w:val="00EF17EF"/>
    <w:rsid w:val="00F03640"/>
    <w:rsid w:val="00F22280"/>
    <w:rsid w:val="00F6206D"/>
    <w:rsid w:val="00F77F62"/>
    <w:rsid w:val="00F816E6"/>
    <w:rsid w:val="00F81EE1"/>
    <w:rsid w:val="00FA6198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pdp/B002UZLIN6?ref=adbl_ent_anon_ds_pdp_pc_cntr-2-8" TargetMode="External"/><Relationship Id="rId13" Type="http://schemas.openxmlformats.org/officeDocument/2006/relationships/hyperlink" Target="https://stories.audible.com/pdp/B002UZLIN6?ref=adbl_ent_anon_ds_pdp_pc_cntr-2-8" TargetMode="External"/><Relationship Id="rId18" Type="http://schemas.openxmlformats.org/officeDocument/2006/relationships/hyperlink" Target="https://stories.audible.com/pdp/B002UZLIN6?ref=adbl_ent_anon_ds_pdp_pc_cntr-2-8" TargetMode="External"/><Relationship Id="rId26" Type="http://schemas.openxmlformats.org/officeDocument/2006/relationships/hyperlink" Target="https://classroom.thenational.academy/lessons/to-analyse-the-authors-use-of-language-c5h3j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balancing-equations-using-the-same-sum-strategy-65hkc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thenational.academy/lessons/adjusting-addends-c5gpct" TargetMode="External"/><Relationship Id="rId12" Type="http://schemas.openxmlformats.org/officeDocument/2006/relationships/hyperlink" Target="https://classroom.thenational.academy/lessons/same-sum-with-larger-numbers-ccw68d" TargetMode="External"/><Relationship Id="rId17" Type="http://schemas.openxmlformats.org/officeDocument/2006/relationships/hyperlink" Target="https://classroom.thenational.academy/lessons/same-sum-with-decimals-6xh3jd" TargetMode="External"/><Relationship Id="rId25" Type="http://schemas.openxmlformats.org/officeDocument/2006/relationships/hyperlink" Target="https://www.youtube.com/watch?v=aEIpC4e2aBY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character-part-1-69k30t" TargetMode="External"/><Relationship Id="rId20" Type="http://schemas.openxmlformats.org/officeDocument/2006/relationships/hyperlink" Target="https://classroom.thenational.academy/lessons/to-analyse-character-part-2-60r68e" TargetMode="External"/><Relationship Id="rId29" Type="http://schemas.openxmlformats.org/officeDocument/2006/relationships/hyperlink" Target="https://youtu.be/WeeWcPFB8j8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th62r" TargetMode="External"/><Relationship Id="rId11" Type="http://schemas.openxmlformats.org/officeDocument/2006/relationships/hyperlink" Target="https://classroom.thenational.academy/lessons/to-analyse-setting-c9j3ec" TargetMode="External"/><Relationship Id="rId24" Type="http://schemas.openxmlformats.org/officeDocument/2006/relationships/hyperlink" Target="https://www.bbc.co.uk/bitesize/topics/zx3xwnb/articles/zbwq96f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pearly-whites-6tjked" TargetMode="External"/><Relationship Id="rId23" Type="http://schemas.openxmlformats.org/officeDocument/2006/relationships/hyperlink" Target="https://classroom.thenational.academy/lessons/communicating-responsibly-65gp8d" TargetMode="External"/><Relationship Id="rId28" Type="http://schemas.openxmlformats.org/officeDocument/2006/relationships/hyperlink" Target="https://stories.audible.com/pdp/B002UZLIN6?ref=adbl_ent_anon_ds_pdp_pc_cntr-2-8" TargetMode="External"/><Relationship Id="rId10" Type="http://schemas.openxmlformats.org/officeDocument/2006/relationships/hyperlink" Target="https://www.youtube.com/watch?v=cRjO1IGwbLo&amp;list=PLYGRaluWWTojV3An2WEgsQ4qGFy_91jDL&amp;index=7" TargetMode="External"/><Relationship Id="rId19" Type="http://schemas.openxmlformats.org/officeDocument/2006/relationships/hyperlink" Target="https://classroom.thenational.academy/lessons/how-we-communicate-ccr3ar" TargetMode="External"/><Relationship Id="rId31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nXMbE9tHlw" TargetMode="External"/><Relationship Id="rId14" Type="http://schemas.openxmlformats.org/officeDocument/2006/relationships/hyperlink" Target="https://classroom.thenational.academy/lessons/how-are-searches-influenced-6gv62d" TargetMode="External"/><Relationship Id="rId22" Type="http://schemas.openxmlformats.org/officeDocument/2006/relationships/hyperlink" Target="https://stories.audible.com/pdp/B002UZLIN6?ref=adbl_ent_anon_ds_pdp_pc_cntr-2-8" TargetMode="External"/><Relationship Id="rId27" Type="http://schemas.openxmlformats.org/officeDocument/2006/relationships/hyperlink" Target="https://classroom.thenational.academy/lessons/balancing-equations-using-compensation-c4uk8e" TargetMode="External"/><Relationship Id="rId30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36</cp:revision>
  <dcterms:created xsi:type="dcterms:W3CDTF">2020-11-25T11:20:00Z</dcterms:created>
  <dcterms:modified xsi:type="dcterms:W3CDTF">2020-12-18T09:44:00Z</dcterms:modified>
</cp:coreProperties>
</file>