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</w:t>
            </w:r>
            <w:r w:rsidR="00D00F8B" w:rsidRPr="00FC6AA1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FC6AA1">
              <w:rPr>
                <w:rFonts w:cstheme="minorHAnsi"/>
                <w:sz w:val="20"/>
                <w:szCs w:val="20"/>
              </w:rPr>
              <w:t>recall of multiplication</w:t>
            </w:r>
            <w:r w:rsidRPr="00FC6AA1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FC6AA1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C6AA1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FC6AA1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FC6AA1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FC6AA1">
              <w:rPr>
                <w:rFonts w:cstheme="minorHAnsi"/>
                <w:sz w:val="20"/>
                <w:szCs w:val="20"/>
              </w:rPr>
              <w:t xml:space="preserve">words.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DC769D" w:rsidRDefault="00DC769D" w:rsidP="00487058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DC769D">
              <w:rPr>
                <w:rFonts w:cs="Arial"/>
                <w:color w:val="FF0000"/>
                <w:sz w:val="20"/>
              </w:rPr>
              <w:t>Week 5 - terrible terribly understandable understandably visible visibly</w:t>
            </w:r>
            <w:r w:rsidRPr="00DC769D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2B7062" w:rsidRPr="00FE414A" w:rsidRDefault="0086665D" w:rsidP="002B7062">
            <w:pPr>
              <w:rPr>
                <w:sz w:val="20"/>
                <w:szCs w:val="20"/>
              </w:rPr>
            </w:pPr>
            <w:hyperlink r:id="rId6" w:history="1">
              <w:r w:rsidR="002B7062" w:rsidRPr="00FE414A">
                <w:rPr>
                  <w:rStyle w:val="Hyperlink"/>
                  <w:sz w:val="20"/>
                  <w:szCs w:val="20"/>
                </w:rPr>
                <w:t>https://www.youtube.com/watch?v=FRnEDoVRaa0</w:t>
              </w:r>
            </w:hyperlink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00F8B" w:rsidRPr="0031660B" w:rsidTr="00A63BFB">
        <w:trPr>
          <w:trHeight w:val="797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FC6AA1" w:rsidRPr="0031660B" w:rsidRDefault="00D00F8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E59B7">
              <w:rPr>
                <w:rFonts w:cstheme="minorHAnsi"/>
                <w:sz w:val="20"/>
                <w:szCs w:val="20"/>
              </w:rPr>
              <w:t xml:space="preserve">To engage with a text.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DE59B7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DE59B7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DE59B7" w:rsidRDefault="0086665D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DE59B7" w:rsidRPr="00DE59B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https://classroom.thenational.academy/lessons/to-engage-with-the-text-cmwkjr</w:t>
              </w:r>
            </w:hyperlink>
          </w:p>
          <w:p w:rsidR="00DE59B7" w:rsidRPr="00DE59B7" w:rsidRDefault="00DE59B7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DE59B7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21138">
              <w:rPr>
                <w:rFonts w:cstheme="minorHAnsi"/>
                <w:sz w:val="20"/>
                <w:szCs w:val="20"/>
              </w:rPr>
              <w:t xml:space="preserve">To calculate and convert units of area.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C21138" w:rsidRDefault="0086665D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C21138" w:rsidRPr="00C21138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https://classroom.thenational.academy/lessons/decimals-and-measures-calculation-and-conversion-of-units-of-area-c4ukar</w:t>
              </w:r>
            </w:hyperlink>
          </w:p>
          <w:p w:rsidR="00C21138" w:rsidRPr="000B06C7" w:rsidRDefault="00C21138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6A3BDC" w:rsidRDefault="006A3BDC" w:rsidP="006A3BDC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D00F8B" w:rsidRDefault="0086665D" w:rsidP="00FC6AA1">
            <w:pPr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EF063F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F063F" w:rsidRPr="0031660B" w:rsidRDefault="00EF063F" w:rsidP="00FC6A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FC6AA1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6B74BB" w:rsidRPr="001A64AB" w:rsidRDefault="0086665D" w:rsidP="006B74BB">
            <w:pPr>
              <w:rPr>
                <w:sz w:val="16"/>
                <w:szCs w:val="16"/>
              </w:rPr>
            </w:pPr>
            <w:hyperlink r:id="rId10" w:history="1">
              <w:r w:rsidR="006B74BB" w:rsidRPr="001A64AB">
                <w:rPr>
                  <w:rStyle w:val="Hyperlink"/>
                  <w:sz w:val="16"/>
                  <w:szCs w:val="16"/>
                </w:rPr>
                <w:t>https://www.youtube.com/watch?v=tEjbdHeE25k</w:t>
              </w:r>
            </w:hyperlink>
          </w:p>
          <w:p w:rsidR="00D00F8B" w:rsidRPr="00D00F8B" w:rsidRDefault="0086665D" w:rsidP="006B74B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6B74BB" w:rsidRPr="001A64AB">
                <w:rPr>
                  <w:rStyle w:val="Hyperlink"/>
                  <w:sz w:val="16"/>
                  <w:szCs w:val="16"/>
                </w:rPr>
                <w:t>https://www.youtube.com/watch?v=08AIvWfmJlo&amp;list=PLYGRaluWWTojV3An2WEgsQ4qGFy_91jDL&amp;index=6</w:t>
              </w:r>
            </w:hyperlink>
            <w:r w:rsidR="00D00F8B" w:rsidRPr="0031660B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C6AA1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DC769D" w:rsidRDefault="00DC769D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DC769D">
              <w:rPr>
                <w:rFonts w:cs="Arial"/>
                <w:color w:val="FF0000"/>
                <w:sz w:val="20"/>
              </w:rPr>
              <w:t>Week 5 - terrible terribly understandable understandably visible visibly</w:t>
            </w:r>
            <w:r w:rsidRPr="00DC769D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2B7062" w:rsidRPr="00B63A6F" w:rsidRDefault="0086665D" w:rsidP="002B7062">
            <w:pPr>
              <w:rPr>
                <w:sz w:val="20"/>
                <w:szCs w:val="20"/>
              </w:rPr>
            </w:pPr>
            <w:hyperlink r:id="rId12" w:history="1">
              <w:r w:rsidR="002B7062" w:rsidRPr="00B63A6F">
                <w:rPr>
                  <w:rStyle w:val="Hyperlink"/>
                  <w:sz w:val="20"/>
                  <w:szCs w:val="20"/>
                </w:rPr>
                <w:t>https://www.youtube.com/watch?v=7Li2qwdUsxU</w:t>
              </w:r>
            </w:hyperlink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FC6AA1" w:rsidRPr="0031660B" w:rsidRDefault="00A879F4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010A33">
              <w:rPr>
                <w:rFonts w:cstheme="minorHAnsi"/>
                <w:sz w:val="20"/>
                <w:szCs w:val="20"/>
              </w:rPr>
              <w:t xml:space="preserve">To read a text and make inferences.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010A33" w:rsidRDefault="0086665D" w:rsidP="00A879F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010A33" w:rsidRPr="00010A33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https://classroom.thenational.academy/lessons/to-read-a-text-and-make-inferences-part-1-6mr3gr</w:t>
              </w:r>
            </w:hyperlink>
          </w:p>
          <w:p w:rsidR="00010A33" w:rsidRPr="0031660B" w:rsidRDefault="00010A33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A879F4" w:rsidRPr="0031660B" w:rsidRDefault="00A879F4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635D9">
              <w:rPr>
                <w:rFonts w:cstheme="minorHAnsi"/>
                <w:sz w:val="20"/>
                <w:szCs w:val="20"/>
              </w:rPr>
              <w:t xml:space="preserve">To learn how to calculate the volume of cubes and cuboids. 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F635D9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F635D9" w:rsidRPr="00F635D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https://classroom.thenational.academy/lessons/decimals-and-measures-the-volume-of-cubes-and-cuboids-cdh3cr</w:t>
              </w:r>
            </w:hyperlink>
          </w:p>
          <w:p w:rsidR="00F635D9" w:rsidRPr="0031660B" w:rsidRDefault="00F635D9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6A3BDC" w:rsidRDefault="006A3BDC" w:rsidP="006A3BDC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A879F4" w:rsidRDefault="0086665D" w:rsidP="00A879F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EF063F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F063F" w:rsidRPr="0031660B" w:rsidRDefault="00EF063F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879F4" w:rsidRPr="0031660B" w:rsidRDefault="0024021F" w:rsidP="00A879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24021F">
              <w:rPr>
                <w:rFonts w:cstheme="minorHAnsi"/>
                <w:sz w:val="20"/>
                <w:szCs w:val="20"/>
              </w:rPr>
              <w:t xml:space="preserve">To know how to search the web. </w:t>
            </w:r>
          </w:p>
        </w:tc>
        <w:tc>
          <w:tcPr>
            <w:tcW w:w="7557" w:type="dxa"/>
            <w:shd w:val="clear" w:color="auto" w:fill="auto"/>
          </w:tcPr>
          <w:p w:rsidR="00A879F4" w:rsidRPr="0024021F" w:rsidRDefault="0024021F" w:rsidP="00FC6AA1">
            <w:pPr>
              <w:rPr>
                <w:rFonts w:cstheme="minorHAnsi"/>
                <w:sz w:val="20"/>
                <w:szCs w:val="20"/>
              </w:rPr>
            </w:pPr>
            <w:r w:rsidRPr="0024021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24021F" w:rsidRPr="0024021F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="0024021F" w:rsidRPr="0024021F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https://classroom.thenational.academy/lessons/searching-the-web-6rrkct</w:t>
              </w:r>
            </w:hyperlink>
          </w:p>
          <w:p w:rsidR="0024021F" w:rsidRPr="0024021F" w:rsidRDefault="0024021F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A410D">
              <w:rPr>
                <w:rFonts w:cstheme="minorHAnsi"/>
                <w:sz w:val="20"/>
                <w:szCs w:val="20"/>
              </w:rPr>
              <w:t xml:space="preserve">To understand how images in the media can affect our self-esteem. </w:t>
            </w:r>
          </w:p>
        </w:tc>
        <w:tc>
          <w:tcPr>
            <w:tcW w:w="7557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FA410D" w:rsidRDefault="0086665D" w:rsidP="00FA410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FA410D" w:rsidRPr="00FA410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https://classroom.thenational.academy/lessons/images-in-the-media-cdk32r</w:t>
              </w:r>
            </w:hyperlink>
          </w:p>
          <w:p w:rsidR="00FA410D" w:rsidRPr="0031660B" w:rsidRDefault="00FA410D" w:rsidP="00FA410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C6AA1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DC769D" w:rsidRDefault="00DC769D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DC769D">
              <w:rPr>
                <w:rFonts w:cs="Arial"/>
                <w:color w:val="FF0000"/>
                <w:sz w:val="20"/>
              </w:rPr>
              <w:t>Week 5 - terrible terribly understandable understandably visible visibly</w:t>
            </w:r>
            <w:r w:rsidRPr="00DC769D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out any jitters by shaking: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hand 10 times.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left hand 10 times.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leg 10 times.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left leg 10 times. </w:t>
            </w:r>
          </w:p>
          <w:p w:rsidR="00B30BAB" w:rsidRPr="0031660B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count down and do the same for 9 to 1!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C1CD5">
              <w:rPr>
                <w:rFonts w:cstheme="minorHAnsi"/>
                <w:sz w:val="20"/>
                <w:szCs w:val="20"/>
              </w:rPr>
              <w:t xml:space="preserve">To read a text and make inferences.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AC1CD5" w:rsidRDefault="0086665D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8" w:history="1">
              <w:r w:rsidR="00AC1CD5" w:rsidRPr="00AC1CD5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https://classroom.thenational.academy/lessons/to-read-a-text-and-make-inferences-part-2-c8rp4e</w:t>
              </w:r>
            </w:hyperlink>
          </w:p>
          <w:p w:rsidR="00AC1CD5" w:rsidRPr="00D37EF9" w:rsidRDefault="00AC1CD5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5727E">
              <w:rPr>
                <w:rFonts w:cstheme="minorHAnsi"/>
                <w:sz w:val="20"/>
                <w:szCs w:val="20"/>
              </w:rPr>
              <w:t xml:space="preserve">To convert between standard measures.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E5727E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E5727E" w:rsidRPr="00E5727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https://classroom.thenational.academy/lessons/decimals-and-measures-convert-between-standard-measures-6cupac</w:t>
              </w:r>
            </w:hyperlink>
          </w:p>
          <w:p w:rsidR="00E5727E" w:rsidRPr="0031660B" w:rsidRDefault="00E5727E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6A3BDC" w:rsidRDefault="00B30BAB" w:rsidP="006A3BD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6A3BDC" w:rsidRPr="00FF549D">
              <w:rPr>
                <w:rFonts w:cstheme="minorHAnsi"/>
                <w:sz w:val="20"/>
                <w:szCs w:val="20"/>
              </w:rPr>
              <w:t xml:space="preserve"> Follow the link</w:t>
            </w:r>
            <w:r w:rsidR="006A3BDC">
              <w:rPr>
                <w:rFonts w:cstheme="minorHAnsi"/>
                <w:sz w:val="20"/>
                <w:szCs w:val="20"/>
              </w:rPr>
              <w:t xml:space="preserve"> to Robinson Crusoe</w:t>
            </w:r>
            <w:r w:rsidR="006A3BDC"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86665D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0" w:history="1">
              <w:r w:rsidR="00EF063F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F063F" w:rsidRPr="0031660B" w:rsidRDefault="00EF063F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C3138A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0C6D4D">
              <w:rPr>
                <w:rFonts w:cstheme="minorHAnsi"/>
                <w:sz w:val="20"/>
                <w:szCs w:val="20"/>
              </w:rPr>
              <w:t xml:space="preserve">To understand why we need to use search engines. </w:t>
            </w:r>
          </w:p>
        </w:tc>
        <w:tc>
          <w:tcPr>
            <w:tcW w:w="7482" w:type="dxa"/>
            <w:shd w:val="clear" w:color="auto" w:fill="auto"/>
          </w:tcPr>
          <w:p w:rsidR="00B30BAB" w:rsidRPr="000C6D4D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0C6D4D">
              <w:rPr>
                <w:rFonts w:cstheme="minorHAnsi"/>
                <w:sz w:val="20"/>
                <w:szCs w:val="20"/>
              </w:rPr>
              <w:t>Follow the link below to</w:t>
            </w:r>
            <w:r w:rsidR="00C3138A" w:rsidRPr="000C6D4D">
              <w:rPr>
                <w:rFonts w:cstheme="minorHAnsi"/>
                <w:sz w:val="20"/>
                <w:szCs w:val="20"/>
              </w:rPr>
              <w:t xml:space="preserve"> have a go at today’s</w:t>
            </w:r>
            <w:r w:rsidRPr="000C6D4D">
              <w:rPr>
                <w:rFonts w:cstheme="minorHAnsi"/>
                <w:sz w:val="20"/>
                <w:szCs w:val="20"/>
              </w:rPr>
              <w:t xml:space="preserve"> lesson:</w:t>
            </w:r>
          </w:p>
          <w:p w:rsidR="00B30BAB" w:rsidRPr="000C6D4D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1" w:history="1">
              <w:r w:rsidR="000C6D4D" w:rsidRPr="000C6D4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https://classroom.thenational.academy/lessons/selecting-search-results-75gp2r</w:t>
              </w:r>
            </w:hyperlink>
          </w:p>
          <w:p w:rsidR="000C6D4D" w:rsidRPr="000C6D4D" w:rsidRDefault="000C6D4D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617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962E3D">
              <w:rPr>
                <w:rFonts w:cstheme="minorHAnsi"/>
                <w:sz w:val="20"/>
                <w:szCs w:val="20"/>
              </w:rPr>
              <w:t xml:space="preserve">To read syncopated rhythms. </w:t>
            </w:r>
          </w:p>
        </w:tc>
        <w:tc>
          <w:tcPr>
            <w:tcW w:w="7482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0BAB" w:rsidRPr="00962E3D" w:rsidRDefault="0086665D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="00962E3D" w:rsidRPr="00962E3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https://classroom.thenational.academy/lessons/to-read-syncopated-rhythms-64v30c</w:t>
              </w:r>
            </w:hyperlink>
          </w:p>
          <w:p w:rsidR="00962E3D" w:rsidRPr="00D37EF9" w:rsidRDefault="00962E3D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C6AA1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DC769D" w:rsidRDefault="00DC769D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DC769D">
              <w:rPr>
                <w:rFonts w:cs="Arial"/>
                <w:color w:val="FF0000"/>
                <w:sz w:val="20"/>
              </w:rPr>
              <w:t>Week 5 - terrible terribly understandable understandably visible visibly</w:t>
            </w:r>
            <w:r w:rsidRPr="00DC769D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C6AA1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</w:p>
          <w:p w:rsidR="002B7062" w:rsidRDefault="0086665D" w:rsidP="002B7062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2B7062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https://www.youtube.com/watch?v=40uEcTuqIvM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FC6AA1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16229">
              <w:rPr>
                <w:rFonts w:cstheme="minorHAnsi"/>
                <w:sz w:val="20"/>
                <w:szCs w:val="20"/>
              </w:rPr>
              <w:t xml:space="preserve">To analyse a setting.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416229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4" w:history="1">
              <w:r w:rsidR="00416229" w:rsidRPr="0041622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https://classroom.thenational.academy/lessons/to-analyse-a-setting-6rtp2e</w:t>
              </w:r>
            </w:hyperlink>
          </w:p>
          <w:p w:rsidR="00416229" w:rsidRPr="0031660B" w:rsidRDefault="00416229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45957">
              <w:rPr>
                <w:rFonts w:cstheme="minorHAnsi"/>
                <w:sz w:val="20"/>
                <w:szCs w:val="20"/>
              </w:rPr>
              <w:t xml:space="preserve">To solve problems including the conversion of standard units of measure.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C45957" w:rsidRDefault="0086665D" w:rsidP="00FC6AA1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C45957" w:rsidRPr="00C4595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https://classroom.thenational.academy/lessons/decimals-and-measures-solving-problems-including-the-conversion-of-standard-units-of-measure-6nhp8e</w:t>
              </w:r>
            </w:hyperlink>
          </w:p>
          <w:p w:rsidR="00C45957" w:rsidRPr="0031660B" w:rsidRDefault="00C45957" w:rsidP="00FC6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6A3BDC" w:rsidRDefault="006A3BDC" w:rsidP="006A3BDC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86665D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="00EF063F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F063F" w:rsidRPr="0031660B" w:rsidRDefault="00EF063F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8757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1.15-2.00</w:t>
            </w:r>
          </w:p>
          <w:p w:rsidR="00B30BA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F43E7" w:rsidRPr="0031660B" w:rsidRDefault="00AF43E7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Computing 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FC6AA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AF43E7">
              <w:rPr>
                <w:rFonts w:cstheme="minorHAnsi"/>
                <w:sz w:val="20"/>
                <w:szCs w:val="20"/>
              </w:rPr>
              <w:t xml:space="preserve">To understand how search engines are ranked. </w:t>
            </w:r>
          </w:p>
        </w:tc>
        <w:tc>
          <w:tcPr>
            <w:tcW w:w="7493" w:type="dxa"/>
            <w:shd w:val="clear" w:color="auto" w:fill="auto"/>
          </w:tcPr>
          <w:p w:rsidR="00AF43E7" w:rsidRPr="00AF43E7" w:rsidRDefault="00B30BAB" w:rsidP="00AF43E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AF43E7">
              <w:rPr>
                <w:rFonts w:cstheme="minorHAnsi"/>
                <w:sz w:val="20"/>
                <w:szCs w:val="20"/>
              </w:rPr>
              <w:t>Follow the link below</w:t>
            </w:r>
            <w:r w:rsidR="00AF43E7" w:rsidRPr="00AF43E7">
              <w:rPr>
                <w:rFonts w:cstheme="minorHAnsi"/>
                <w:color w:val="434343"/>
                <w:sz w:val="20"/>
                <w:szCs w:val="20"/>
                <w:lang w:val="en"/>
              </w:rPr>
              <w:t>:</w:t>
            </w:r>
          </w:p>
          <w:p w:rsidR="00AF43E7" w:rsidRPr="00AF43E7" w:rsidRDefault="0086665D" w:rsidP="00AF43E7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7" w:history="1">
              <w:r w:rsidR="00AF43E7" w:rsidRPr="00AF43E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https://classroom.thenational.academy/lessons/how-search-results-are-ranked-64v38c</w:t>
              </w:r>
            </w:hyperlink>
          </w:p>
          <w:p w:rsidR="00AF43E7" w:rsidRPr="00AF43E7" w:rsidRDefault="00AF43E7" w:rsidP="00AF43E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8757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2.00-2.30</w:t>
            </w:r>
          </w:p>
          <w:p w:rsidR="00B30BAB" w:rsidRPr="0031660B" w:rsidRDefault="009373A8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9373A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3323BC">
              <w:rPr>
                <w:rFonts w:cstheme="minorHAnsi"/>
                <w:sz w:val="20"/>
                <w:szCs w:val="20"/>
              </w:rPr>
              <w:t xml:space="preserve">To learn about the French verb </w:t>
            </w:r>
            <w:proofErr w:type="spellStart"/>
            <w:r w:rsidR="003323BC">
              <w:rPr>
                <w:rFonts w:cstheme="minorHAnsi"/>
                <w:sz w:val="20"/>
                <w:szCs w:val="20"/>
              </w:rPr>
              <w:t>etre</w:t>
            </w:r>
            <w:proofErr w:type="spellEnd"/>
            <w:r w:rsidR="003323BC">
              <w:rPr>
                <w:rFonts w:cstheme="minorHAnsi"/>
                <w:sz w:val="20"/>
                <w:szCs w:val="20"/>
              </w:rPr>
              <w:t xml:space="preserve"> (to be). </w:t>
            </w:r>
          </w:p>
        </w:tc>
        <w:tc>
          <w:tcPr>
            <w:tcW w:w="7493" w:type="dxa"/>
            <w:shd w:val="clear" w:color="auto" w:fill="auto"/>
          </w:tcPr>
          <w:p w:rsidR="00B30BAB" w:rsidRDefault="003323BC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323BC" w:rsidRDefault="0086665D" w:rsidP="00B30BAB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3323BC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https://www.bbc.co.uk/bitesize/topics/z6d98xs/articles/zwqxdp3</w:t>
              </w:r>
            </w:hyperlink>
          </w:p>
          <w:p w:rsidR="003323BC" w:rsidRPr="0031660B" w:rsidRDefault="003323BC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7572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87572" w:rsidRDefault="00B8757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2.30-3.00</w:t>
            </w:r>
          </w:p>
          <w:p w:rsidR="00B87572" w:rsidRPr="0031660B" w:rsidRDefault="00B8757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64" w:type="dxa"/>
            <w:shd w:val="clear" w:color="auto" w:fill="auto"/>
          </w:tcPr>
          <w:p w:rsidR="00B87572" w:rsidRPr="0031660B" w:rsidRDefault="00B87572" w:rsidP="00937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LO: To create a piece of art work in the style of Derek Gores.</w:t>
            </w:r>
          </w:p>
        </w:tc>
        <w:tc>
          <w:tcPr>
            <w:tcW w:w="7493" w:type="dxa"/>
            <w:shd w:val="clear" w:color="auto" w:fill="auto"/>
          </w:tcPr>
          <w:p w:rsidR="00B87572" w:rsidRPr="00B87572" w:rsidRDefault="00B87572" w:rsidP="00B8757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B87572">
              <w:rPr>
                <w:rFonts w:cstheme="minorHAnsi"/>
                <w:b/>
                <w:bCs/>
                <w:sz w:val="20"/>
                <w:szCs w:val="20"/>
                <w:u w:val="single"/>
              </w:rPr>
              <w:t>Collage</w:t>
            </w:r>
            <w:r w:rsidRPr="00B8757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87572">
              <w:rPr>
                <w:rFonts w:cstheme="minorHAnsi"/>
                <w:sz w:val="20"/>
                <w:szCs w:val="20"/>
              </w:rPr>
              <w:t>Derek Gores is a master of collage and a recycling artist. He recycles magazines, labels to create the works on canvas. Use his style, to create a collage of a mini</w:t>
            </w:r>
            <w:r w:rsidR="009F000F">
              <w:rPr>
                <w:rFonts w:cstheme="minorHAnsi"/>
                <w:sz w:val="20"/>
                <w:szCs w:val="20"/>
              </w:rPr>
              <w:t xml:space="preserve"> </w:t>
            </w:r>
            <w:r w:rsidRPr="00B87572">
              <w:rPr>
                <w:rFonts w:cstheme="minorHAnsi"/>
                <w:sz w:val="20"/>
                <w:szCs w:val="20"/>
              </w:rPr>
              <w:t>beast.</w:t>
            </w:r>
            <w:r w:rsidRPr="00B87572">
              <w:rPr>
                <w:rFonts w:cstheme="minorHAnsi"/>
                <w:sz w:val="20"/>
                <w:szCs w:val="20"/>
              </w:rPr>
              <w:br/>
            </w:r>
          </w:p>
          <w:p w:rsidR="00B87572" w:rsidRPr="00B87572" w:rsidRDefault="00B87572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799"/>
        <w:gridCol w:w="7440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9373A8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9373A8">
              <w:rPr>
                <w:rFonts w:cstheme="minorHAnsi"/>
                <w:sz w:val="20"/>
                <w:szCs w:val="20"/>
              </w:rPr>
              <w:t>LO:</w:t>
            </w:r>
            <w:r w:rsidR="00AE7CC4" w:rsidRPr="009373A8">
              <w:rPr>
                <w:rFonts w:cstheme="minorHAnsi"/>
                <w:sz w:val="20"/>
                <w:szCs w:val="20"/>
              </w:rPr>
              <w:t xml:space="preserve"> To practis</w:t>
            </w:r>
            <w:r w:rsidRPr="009373A8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DC769D" w:rsidRDefault="00DC769D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DC769D">
              <w:rPr>
                <w:rFonts w:cs="Arial"/>
                <w:color w:val="FF0000"/>
                <w:sz w:val="20"/>
              </w:rPr>
              <w:t>Week 5 - terrible terribly understandable understandably visible visibly</w:t>
            </w:r>
            <w:r w:rsidRPr="00DC769D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B30BAB" w:rsidRPr="00DC769D" w:rsidRDefault="00B30BAB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9373A8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9373A8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in: </w:t>
            </w:r>
          </w:p>
          <w:p w:rsidR="002B7062" w:rsidRDefault="002B7062" w:rsidP="002B7062">
            <w:pPr>
              <w:rPr>
                <w:rFonts w:cstheme="minorHAnsi"/>
                <w:sz w:val="20"/>
                <w:szCs w:val="20"/>
              </w:rPr>
            </w:pPr>
          </w:p>
          <w:p w:rsidR="002B7062" w:rsidRDefault="0086665D" w:rsidP="002B706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2B7062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https://www.youtube.com/watch?v=OYL20BXslQc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9373A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1278A">
              <w:rPr>
                <w:rFonts w:cstheme="minorHAnsi"/>
                <w:sz w:val="20"/>
                <w:szCs w:val="20"/>
              </w:rPr>
              <w:t xml:space="preserve">To read, comprehend and respond to a climax. </w:t>
            </w:r>
          </w:p>
        </w:tc>
        <w:tc>
          <w:tcPr>
            <w:tcW w:w="7474" w:type="dxa"/>
          </w:tcPr>
          <w:p w:rsidR="0071278A" w:rsidRPr="0071278A" w:rsidRDefault="0071278A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r w:rsidRPr="0071278A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below:</w:t>
            </w:r>
            <w:r w:rsidR="00B30BAB" w:rsidRPr="0071278A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Pr="0071278A">
              <w:rPr>
                <w:rFonts w:cstheme="minorHAnsi"/>
                <w:color w:val="434343"/>
                <w:sz w:val="18"/>
                <w:szCs w:val="18"/>
                <w:lang w:val="en"/>
              </w:rPr>
              <w:t xml:space="preserve"> </w:t>
            </w:r>
          </w:p>
          <w:p w:rsidR="00B30BAB" w:rsidRPr="0071278A" w:rsidRDefault="0086665D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0" w:history="1">
              <w:r w:rsidR="0071278A" w:rsidRPr="0071278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https://classroom.thenational.academy/lessons/to-read-comprehend-and-respond-to-a-climax-6gr68c</w:t>
              </w:r>
            </w:hyperlink>
          </w:p>
          <w:p w:rsidR="0071278A" w:rsidRPr="0031660B" w:rsidRDefault="0071278A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9373A8" w:rsidP="00937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LO:</w:t>
            </w:r>
            <w:r w:rsidR="00B30BAB"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A8240E">
              <w:rPr>
                <w:rFonts w:cstheme="minorHAnsi"/>
                <w:sz w:val="20"/>
                <w:szCs w:val="20"/>
              </w:rPr>
              <w:t xml:space="preserve">To convert between units of time.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A8240E" w:rsidRDefault="0086665D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="00A8240E" w:rsidRPr="00A8240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https://classroom.thenational.academy/lessons/decimals-and-measures-convert-between-units-of-time-c4r66c</w:t>
              </w:r>
            </w:hyperlink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6A3BDC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A3BDC">
              <w:rPr>
                <w:rFonts w:cstheme="minorHAnsi"/>
                <w:sz w:val="20"/>
                <w:szCs w:val="20"/>
              </w:rPr>
              <w:t xml:space="preserve">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6A3BDC" w:rsidRDefault="006A3BDC" w:rsidP="006A3BDC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86665D" w:rsidP="00B30BAB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EF063F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F063F" w:rsidRPr="00FC1476" w:rsidRDefault="00580B8C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6B74BB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6B74BB" w:rsidRPr="0031660B" w:rsidRDefault="006B74BB" w:rsidP="006B74B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6B74BB" w:rsidRPr="0031660B" w:rsidRDefault="006B74BB" w:rsidP="006B7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6B74BB" w:rsidRPr="0031660B" w:rsidRDefault="006B74BB" w:rsidP="006B74BB">
            <w:pPr>
              <w:rPr>
                <w:rFonts w:cstheme="minorHAnsi"/>
                <w:sz w:val="20"/>
                <w:szCs w:val="20"/>
              </w:rPr>
            </w:pPr>
            <w:r w:rsidRPr="009373A8">
              <w:rPr>
                <w:rFonts w:cstheme="minorHAnsi"/>
                <w:sz w:val="20"/>
                <w:szCs w:val="20"/>
              </w:rPr>
              <w:t>LO: To create a piece of mindfulness art work.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6B74BB" w:rsidRDefault="006B74BB" w:rsidP="006B7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6B74BB" w:rsidRDefault="006B74BB" w:rsidP="006B7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6B74BB" w:rsidRPr="008A4EB9" w:rsidRDefault="0086665D" w:rsidP="006B74BB">
            <w:pPr>
              <w:rPr>
                <w:rFonts w:cstheme="minorHAnsi"/>
                <w:sz w:val="20"/>
                <w:szCs w:val="20"/>
              </w:rPr>
            </w:pPr>
            <w:hyperlink r:id="rId33" w:tgtFrame="_blank" w:history="1">
              <w:r w:rsidR="006B74BB" w:rsidRPr="006B74BB">
                <w:rPr>
                  <w:rStyle w:val="Hyperlink"/>
                  <w:sz w:val="18"/>
                </w:rPr>
                <w:t>https://youtu.be/TgaQUGo3AUM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D9419A" w:rsidRDefault="00D9419A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86665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  <w:bookmarkStart w:id="0" w:name="_GoBack"/>
      <w:bookmarkEnd w:id="0"/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2 × 11 = _____ 9 × 7 = _____ 1 × 6 = _____ 6 × 8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 × 2 = _____ 2 × 8 = _____ 10 × 9 = _____ 11 × 3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8 × 5 = _____ 4 × 1 = _____ 10 × 12 = _____ 10 × 4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11 × 2 = _____ 11 × 10 = _____ 9 × 7 = _____ 9 × 6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6 × 10 = _____ 2 × 9 = _____ 8 × 10 = _____ 11 × 7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10 × 4 = _____ 5 × 7 = _____ 10 × 8 = _____ 12 × 6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4 × 10 = _____ 2 × 7 = _____ 10 × 3 = _____ 1 × 4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11 × 11 = _____ 2 × 10 = _____ 6 × 1 = _____ 7 × 8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5 × 12 = _____ 4 × 6 = _____ 5 × 8 = _____ 1 × 12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3 × 8 = _____ 7 × 12 = _____ 5 × 6 = _____ 4 × 3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9 × 5 = _____ 9 × 9 = _____ 9 × 12 = _____ 5 × 11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2 × 6 = _____ 8 × 11 = _____ 3 × 12 = _____ 6 × 12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7 × 7 = _____ 12 × 8 = _____ 12 × 3 = _____ 4 × 2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11 × 6 = _____ 7 × 11 = _____ 12 × 2 = _____ 7 × 5 = _____</w:t>
      </w:r>
    </w:p>
    <w:p w:rsidR="00DC769D" w:rsidRPr="004B2F41" w:rsidRDefault="00DC769D" w:rsidP="00DC769D">
      <w:pPr>
        <w:spacing w:line="360" w:lineRule="auto"/>
        <w:jc w:val="center"/>
        <w:rPr>
          <w:rFonts w:cstheme="minorHAnsi"/>
          <w:sz w:val="32"/>
        </w:rPr>
      </w:pPr>
      <w:r w:rsidRPr="004B2F41">
        <w:rPr>
          <w:rFonts w:cstheme="minorHAnsi"/>
          <w:sz w:val="32"/>
        </w:rPr>
        <w:t>10 × 7 = _____ 5 × 4 = _____ 6 × 4 = _____ 11 × 4 = _____</w:t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9373A8" w:rsidRDefault="009373A8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9373A8" w:rsidRDefault="009373A8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829CB" w:rsidRPr="0031660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9CB" w:rsidRPr="0031660B" w:rsidSect="00D00F8B">
      <w:headerReference w:type="default" r:id="rId36"/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344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E0E" w:rsidRDefault="00866E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65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6E0E" w:rsidRDefault="0086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DC769D">
      <w:rPr>
        <w:sz w:val="16"/>
        <w:szCs w:val="16"/>
      </w:rPr>
      <w:t xml:space="preserve"> W/C 01.02</w:t>
    </w:r>
    <w:r>
      <w:rPr>
        <w:sz w:val="16"/>
        <w:szCs w:val="16"/>
      </w:rPr>
      <w:t>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10A33"/>
    <w:rsid w:val="00026D30"/>
    <w:rsid w:val="00031105"/>
    <w:rsid w:val="0003157F"/>
    <w:rsid w:val="0003158F"/>
    <w:rsid w:val="00073368"/>
    <w:rsid w:val="000B06C7"/>
    <w:rsid w:val="000B5C69"/>
    <w:rsid w:val="000C6D4D"/>
    <w:rsid w:val="000F53B3"/>
    <w:rsid w:val="0011429E"/>
    <w:rsid w:val="001410F4"/>
    <w:rsid w:val="0014788C"/>
    <w:rsid w:val="00184244"/>
    <w:rsid w:val="001B1FA9"/>
    <w:rsid w:val="00223EA8"/>
    <w:rsid w:val="00236A08"/>
    <w:rsid w:val="0024021F"/>
    <w:rsid w:val="002440B4"/>
    <w:rsid w:val="00254853"/>
    <w:rsid w:val="0025621C"/>
    <w:rsid w:val="002920FC"/>
    <w:rsid w:val="002B7062"/>
    <w:rsid w:val="002E2965"/>
    <w:rsid w:val="00303602"/>
    <w:rsid w:val="0031660B"/>
    <w:rsid w:val="003323BC"/>
    <w:rsid w:val="00334791"/>
    <w:rsid w:val="00371497"/>
    <w:rsid w:val="0039383C"/>
    <w:rsid w:val="003970D4"/>
    <w:rsid w:val="003A516F"/>
    <w:rsid w:val="003C3229"/>
    <w:rsid w:val="00416229"/>
    <w:rsid w:val="00432C21"/>
    <w:rsid w:val="00454DD3"/>
    <w:rsid w:val="00466A0B"/>
    <w:rsid w:val="00471D89"/>
    <w:rsid w:val="00484935"/>
    <w:rsid w:val="00487058"/>
    <w:rsid w:val="004A5753"/>
    <w:rsid w:val="00505FED"/>
    <w:rsid w:val="00564710"/>
    <w:rsid w:val="00580B8C"/>
    <w:rsid w:val="005907D2"/>
    <w:rsid w:val="005C3EA6"/>
    <w:rsid w:val="005F4AB0"/>
    <w:rsid w:val="006042E0"/>
    <w:rsid w:val="0061445A"/>
    <w:rsid w:val="00653474"/>
    <w:rsid w:val="00655421"/>
    <w:rsid w:val="006560DF"/>
    <w:rsid w:val="0066698C"/>
    <w:rsid w:val="006755A5"/>
    <w:rsid w:val="006A3BDC"/>
    <w:rsid w:val="006B6BA6"/>
    <w:rsid w:val="006B74BB"/>
    <w:rsid w:val="006D07AE"/>
    <w:rsid w:val="0071278A"/>
    <w:rsid w:val="007554A3"/>
    <w:rsid w:val="00775177"/>
    <w:rsid w:val="00797E56"/>
    <w:rsid w:val="007A02FE"/>
    <w:rsid w:val="007E0D90"/>
    <w:rsid w:val="007F26F4"/>
    <w:rsid w:val="00802DA6"/>
    <w:rsid w:val="00843455"/>
    <w:rsid w:val="00844F57"/>
    <w:rsid w:val="00862427"/>
    <w:rsid w:val="0086665D"/>
    <w:rsid w:val="00866E0E"/>
    <w:rsid w:val="00880671"/>
    <w:rsid w:val="008A1B1A"/>
    <w:rsid w:val="008C3CB6"/>
    <w:rsid w:val="008F2C07"/>
    <w:rsid w:val="008F6D38"/>
    <w:rsid w:val="00920BF1"/>
    <w:rsid w:val="00924259"/>
    <w:rsid w:val="009373A8"/>
    <w:rsid w:val="00961003"/>
    <w:rsid w:val="00962E3D"/>
    <w:rsid w:val="0096568B"/>
    <w:rsid w:val="009727B7"/>
    <w:rsid w:val="00974435"/>
    <w:rsid w:val="00982ED6"/>
    <w:rsid w:val="00987C41"/>
    <w:rsid w:val="009A3521"/>
    <w:rsid w:val="009D59B7"/>
    <w:rsid w:val="009E6AA2"/>
    <w:rsid w:val="009F000F"/>
    <w:rsid w:val="00A00A22"/>
    <w:rsid w:val="00A25F99"/>
    <w:rsid w:val="00A572C2"/>
    <w:rsid w:val="00A63BFB"/>
    <w:rsid w:val="00A665E0"/>
    <w:rsid w:val="00A8240E"/>
    <w:rsid w:val="00A879F4"/>
    <w:rsid w:val="00A932BB"/>
    <w:rsid w:val="00AC1CD5"/>
    <w:rsid w:val="00AE7CC4"/>
    <w:rsid w:val="00AF43E7"/>
    <w:rsid w:val="00B30BAB"/>
    <w:rsid w:val="00B449F9"/>
    <w:rsid w:val="00B829CB"/>
    <w:rsid w:val="00B87572"/>
    <w:rsid w:val="00B94DEB"/>
    <w:rsid w:val="00BA71C5"/>
    <w:rsid w:val="00BB4453"/>
    <w:rsid w:val="00C21138"/>
    <w:rsid w:val="00C3138A"/>
    <w:rsid w:val="00C45957"/>
    <w:rsid w:val="00C46DFF"/>
    <w:rsid w:val="00C64AC2"/>
    <w:rsid w:val="00C70738"/>
    <w:rsid w:val="00C80337"/>
    <w:rsid w:val="00CE639B"/>
    <w:rsid w:val="00CE73ED"/>
    <w:rsid w:val="00D00F8B"/>
    <w:rsid w:val="00D0506E"/>
    <w:rsid w:val="00D37EF9"/>
    <w:rsid w:val="00D87DA0"/>
    <w:rsid w:val="00D9419A"/>
    <w:rsid w:val="00DA176E"/>
    <w:rsid w:val="00DA6FA1"/>
    <w:rsid w:val="00DB69D9"/>
    <w:rsid w:val="00DC769D"/>
    <w:rsid w:val="00DE59B7"/>
    <w:rsid w:val="00E144BD"/>
    <w:rsid w:val="00E14CD5"/>
    <w:rsid w:val="00E172AA"/>
    <w:rsid w:val="00E5727E"/>
    <w:rsid w:val="00E60B8F"/>
    <w:rsid w:val="00EA5CF5"/>
    <w:rsid w:val="00EB0BB6"/>
    <w:rsid w:val="00EC029D"/>
    <w:rsid w:val="00EC4A28"/>
    <w:rsid w:val="00EF063F"/>
    <w:rsid w:val="00EF17EF"/>
    <w:rsid w:val="00F03640"/>
    <w:rsid w:val="00F22280"/>
    <w:rsid w:val="00F6206D"/>
    <w:rsid w:val="00F635D9"/>
    <w:rsid w:val="00F77F62"/>
    <w:rsid w:val="00F816E6"/>
    <w:rsid w:val="00FA410D"/>
    <w:rsid w:val="00FA6198"/>
    <w:rsid w:val="00FC1476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3C47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cimals-and-measures-calculation-and-conversion-of-units-of-area-c4ukar" TargetMode="External"/><Relationship Id="rId13" Type="http://schemas.openxmlformats.org/officeDocument/2006/relationships/hyperlink" Target="https://classroom.thenational.academy/lessons/to-read-a-text-and-make-inferences-part-1-6mr3gr" TargetMode="External"/><Relationship Id="rId18" Type="http://schemas.openxmlformats.org/officeDocument/2006/relationships/hyperlink" Target="https://classroom.thenational.academy/lessons/to-read-a-text-and-make-inferences-part-2-c8rp4e" TargetMode="External"/><Relationship Id="rId26" Type="http://schemas.openxmlformats.org/officeDocument/2006/relationships/hyperlink" Target="https://stories.audible.com/pdp/B002UZLIN6?ref=adbl_ent_anon_ds_pdp_pc_cntr-2-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selecting-search-results-75gp2r" TargetMode="External"/><Relationship Id="rId34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7" Type="http://schemas.openxmlformats.org/officeDocument/2006/relationships/hyperlink" Target="https://classroom.thenational.academy/lessons/to-engage-with-the-text-cmwkjr" TargetMode="External"/><Relationship Id="rId12" Type="http://schemas.openxmlformats.org/officeDocument/2006/relationships/hyperlink" Target="https://www.youtube.com/watch?v=7Li2qwdUsxU" TargetMode="External"/><Relationship Id="rId17" Type="http://schemas.openxmlformats.org/officeDocument/2006/relationships/hyperlink" Target="https://classroom.thenational.academy/lessons/images-in-the-media-cdk32r" TargetMode="External"/><Relationship Id="rId25" Type="http://schemas.openxmlformats.org/officeDocument/2006/relationships/hyperlink" Target="https://classroom.thenational.academy/lessons/decimals-and-measures-solving-problems-including-the-conversion-of-standard-units-of-measure-6nhp8e" TargetMode="External"/><Relationship Id="rId33" Type="http://schemas.openxmlformats.org/officeDocument/2006/relationships/hyperlink" Target="https://youtu.be/TgaQUGo3AU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searching-the-web-6rrkct" TargetMode="External"/><Relationship Id="rId20" Type="http://schemas.openxmlformats.org/officeDocument/2006/relationships/hyperlink" Target="https://stories.audible.com/pdp/B002UZLIN6?ref=adbl_ent_anon_ds_pdp_pc_cntr-2-8" TargetMode="External"/><Relationship Id="rId29" Type="http://schemas.openxmlformats.org/officeDocument/2006/relationships/hyperlink" Target="https://www.youtube.com/watch?v=OYL20BXslQ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EDoVRaa0" TargetMode="External"/><Relationship Id="rId11" Type="http://schemas.openxmlformats.org/officeDocument/2006/relationships/hyperlink" Target="https://www.youtube.com/watch?v=08AIvWfmJlo&amp;list=PLYGRaluWWTojV3An2WEgsQ4qGFy_91jDL&amp;index=6" TargetMode="External"/><Relationship Id="rId24" Type="http://schemas.openxmlformats.org/officeDocument/2006/relationships/hyperlink" Target="https://classroom.thenational.academy/lessons/to-analyse-a-setting-6rtp2e" TargetMode="External"/><Relationship Id="rId32" Type="http://schemas.openxmlformats.org/officeDocument/2006/relationships/hyperlink" Target="https://stories.audible.com/pdp/B002UZLIN6?ref=adbl_ent_anon_ds_pdp_pc_cntr-2-8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www.youtube.com/watch?v=40uEcTuqIvM" TargetMode="External"/><Relationship Id="rId28" Type="http://schemas.openxmlformats.org/officeDocument/2006/relationships/hyperlink" Target="https://www.bbc.co.uk/bitesize/topics/z6d98xs/articles/zwqxdp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tEjbdHeE25k" TargetMode="External"/><Relationship Id="rId19" Type="http://schemas.openxmlformats.org/officeDocument/2006/relationships/hyperlink" Target="https://classroom.thenational.academy/lessons/decimals-and-measures-convert-between-standard-measures-6cupac" TargetMode="External"/><Relationship Id="rId31" Type="http://schemas.openxmlformats.org/officeDocument/2006/relationships/hyperlink" Target="https://classroom.thenational.academy/lessons/decimals-and-measures-convert-between-units-of-time-c4r66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decimals-and-measures-the-volume-of-cubes-and-cuboids-cdh3cr" TargetMode="External"/><Relationship Id="rId22" Type="http://schemas.openxmlformats.org/officeDocument/2006/relationships/hyperlink" Target="https://classroom.thenational.academy/lessons/to-read-syncopated-rhythms-64v30c" TargetMode="External"/><Relationship Id="rId27" Type="http://schemas.openxmlformats.org/officeDocument/2006/relationships/hyperlink" Target="https://classroom.thenational.academy/lessons/how-search-results-are-ranked-64v38c" TargetMode="External"/><Relationship Id="rId30" Type="http://schemas.openxmlformats.org/officeDocument/2006/relationships/hyperlink" Target="https://classroom.thenational.academy/lessons/to-read-comprehend-and-respond-to-a-climax-6gr68c" TargetMode="External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36</cp:revision>
  <dcterms:created xsi:type="dcterms:W3CDTF">2020-11-25T11:12:00Z</dcterms:created>
  <dcterms:modified xsi:type="dcterms:W3CDTF">2020-12-18T09:42:00Z</dcterms:modified>
</cp:coreProperties>
</file>