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70DF0" w14:textId="77777777" w:rsidR="008B7187" w:rsidRDefault="008B7187" w:rsidP="009E530D">
      <w:pPr>
        <w:jc w:val="center"/>
        <w:rPr>
          <w:b/>
          <w:sz w:val="32"/>
          <w:szCs w:val="32"/>
        </w:rPr>
      </w:pPr>
      <w:r>
        <w:rPr>
          <w:b/>
          <w:noProof/>
          <w:sz w:val="32"/>
          <w:szCs w:val="32"/>
        </w:rPr>
        <w:drawing>
          <wp:inline distT="0" distB="0" distL="0" distR="0" wp14:anchorId="46A01A22" wp14:editId="18B96A34">
            <wp:extent cx="2295404" cy="2238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a:extLst>
                        <a:ext uri="{28A0092B-C50C-407E-A947-70E740481C1C}">
                          <a14:useLocalDpi xmlns:a14="http://schemas.microsoft.com/office/drawing/2010/main" val="0"/>
                        </a:ext>
                      </a:extLst>
                    </a:blip>
                    <a:stretch>
                      <a:fillRect/>
                    </a:stretch>
                  </pic:blipFill>
                  <pic:spPr>
                    <a:xfrm>
                      <a:off x="0" y="0"/>
                      <a:ext cx="2335716" cy="2277685"/>
                    </a:xfrm>
                    <a:prstGeom prst="rect">
                      <a:avLst/>
                    </a:prstGeom>
                  </pic:spPr>
                </pic:pic>
              </a:graphicData>
            </a:graphic>
          </wp:inline>
        </w:drawing>
      </w:r>
    </w:p>
    <w:p w14:paraId="3B0C6F9A" w14:textId="68F5172D" w:rsidR="008B7187" w:rsidRDefault="0098212C" w:rsidP="0098212C">
      <w:pPr>
        <w:rPr>
          <w:b/>
          <w:sz w:val="32"/>
          <w:szCs w:val="32"/>
        </w:rPr>
      </w:pPr>
      <w:r w:rsidRPr="008B7187">
        <w:rPr>
          <w:b/>
          <w:sz w:val="32"/>
          <w:szCs w:val="32"/>
        </w:rPr>
        <w:t>Pupil premium strategy statement</w:t>
      </w:r>
      <w:bookmarkStart w:id="0" w:name="_Toc338167830"/>
      <w:bookmarkStart w:id="1" w:name="_Toc361136403"/>
      <w:bookmarkStart w:id="2" w:name="_Toc364235708"/>
      <w:bookmarkStart w:id="3" w:name="_Toc364235752"/>
      <w:bookmarkStart w:id="4" w:name="_Toc364235834"/>
      <w:bookmarkStart w:id="5" w:name="_Toc364840099"/>
      <w:bookmarkStart w:id="6" w:name="_Toc364864309"/>
      <w:bookmarkStart w:id="7" w:name="_Toc400361364"/>
      <w:bookmarkStart w:id="8" w:name="_Toc443397154"/>
      <w:r w:rsidRPr="008B7187">
        <w:rPr>
          <w:b/>
          <w:sz w:val="32"/>
          <w:szCs w:val="32"/>
        </w:rPr>
        <w:t xml:space="preserve"> </w:t>
      </w:r>
    </w:p>
    <w:p w14:paraId="3E398FF1" w14:textId="1E72F422" w:rsidR="0098212C" w:rsidRPr="008B7187" w:rsidRDefault="0098212C" w:rsidP="0098212C">
      <w:pPr>
        <w:rPr>
          <w:b/>
          <w:sz w:val="32"/>
          <w:szCs w:val="32"/>
        </w:rPr>
      </w:pPr>
      <w:r w:rsidRPr="008B7187">
        <w:rPr>
          <w:b/>
          <w:sz w:val="32"/>
          <w:szCs w:val="32"/>
        </w:rPr>
        <w:t>Sandal Castle VA Community Primary School</w:t>
      </w:r>
    </w:p>
    <w:p w14:paraId="4153DF73" w14:textId="77777777" w:rsidR="0098212C" w:rsidRPr="0098212C" w:rsidRDefault="0098212C" w:rsidP="0098212C">
      <w:pPr>
        <w:rPr>
          <w:b/>
        </w:rPr>
      </w:pPr>
      <w:r w:rsidRPr="0098212C">
        <w:t xml:space="preserve">This statement details our school’s use of pupil premium (and recovery premium) funding to help improve the attainment of our disadvantaged pupils. </w:t>
      </w:r>
    </w:p>
    <w:p w14:paraId="49B022E2" w14:textId="77777777" w:rsidR="0098212C" w:rsidRPr="0098212C" w:rsidRDefault="0098212C" w:rsidP="0098212C">
      <w:pPr>
        <w:rPr>
          <w:b/>
        </w:rPr>
      </w:pPr>
      <w:r w:rsidRPr="0098212C">
        <w:t xml:space="preserve">It outlines our pupil premium strategy, how we intend to spend the funding in this academic year and outcomes for disadvantaged pupils last academic year. </w:t>
      </w:r>
    </w:p>
    <w:p w14:paraId="0537055B" w14:textId="77777777" w:rsidR="0098212C" w:rsidRPr="00C943A4" w:rsidRDefault="0098212C" w:rsidP="0098212C">
      <w:pPr>
        <w:rPr>
          <w:b/>
          <w:sz w:val="28"/>
          <w:szCs w:val="28"/>
        </w:rPr>
      </w:pPr>
      <w:r w:rsidRPr="00C943A4">
        <w:rPr>
          <w:b/>
          <w:sz w:val="28"/>
          <w:szCs w:val="28"/>
        </w:rPr>
        <w:t>School overview</w:t>
      </w:r>
      <w:bookmarkEnd w:id="0"/>
      <w:bookmarkEnd w:id="1"/>
      <w:bookmarkEnd w:id="2"/>
      <w:bookmarkEnd w:id="3"/>
      <w:bookmarkEnd w:id="4"/>
      <w:bookmarkEnd w:id="5"/>
      <w:bookmarkEnd w:id="6"/>
      <w:bookmarkEnd w:id="7"/>
      <w:bookmarkEnd w:id="8"/>
    </w:p>
    <w:tbl>
      <w:tblPr>
        <w:tblW w:w="5000" w:type="pct"/>
        <w:tblCellMar>
          <w:left w:w="10" w:type="dxa"/>
          <w:right w:w="10" w:type="dxa"/>
        </w:tblCellMar>
        <w:tblLook w:val="04A0" w:firstRow="1" w:lastRow="0" w:firstColumn="1" w:lastColumn="0" w:noHBand="0" w:noVBand="1"/>
      </w:tblPr>
      <w:tblGrid>
        <w:gridCol w:w="6162"/>
        <w:gridCol w:w="2854"/>
      </w:tblGrid>
      <w:tr w:rsidR="0098212C" w:rsidRPr="0098212C" w14:paraId="61D33B3E" w14:textId="77777777" w:rsidTr="00E4573A">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D531F3" w14:textId="77777777" w:rsidR="0098212C" w:rsidRPr="0098212C" w:rsidRDefault="0098212C" w:rsidP="0098212C">
            <w:pPr>
              <w:rPr>
                <w:b/>
              </w:rPr>
            </w:pPr>
            <w:r w:rsidRPr="0098212C">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FEA1277" w14:textId="77777777" w:rsidR="0098212C" w:rsidRPr="0098212C" w:rsidRDefault="0098212C" w:rsidP="0098212C">
            <w:pPr>
              <w:rPr>
                <w:b/>
              </w:rPr>
            </w:pPr>
            <w:r w:rsidRPr="0098212C">
              <w:rPr>
                <w:b/>
              </w:rPr>
              <w:t>Data</w:t>
            </w:r>
          </w:p>
        </w:tc>
      </w:tr>
      <w:tr w:rsidR="0098212C" w:rsidRPr="0098212C" w14:paraId="055E7EFC" w14:textId="77777777" w:rsidTr="00AA692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49575" w14:textId="77777777" w:rsidR="0098212C" w:rsidRPr="0098212C" w:rsidRDefault="0098212C" w:rsidP="0098212C">
            <w:r w:rsidRPr="0098212C">
              <w:t xml:space="preserve">Number of pupils in school </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236A4D7" w14:textId="77777777" w:rsidR="0098212C" w:rsidRPr="00AA6927" w:rsidRDefault="007B0DD2" w:rsidP="0098212C">
            <w:r w:rsidRPr="00AA6927">
              <w:t>618</w:t>
            </w:r>
          </w:p>
        </w:tc>
      </w:tr>
      <w:tr w:rsidR="0098212C" w:rsidRPr="0098212C" w14:paraId="5190BC36" w14:textId="77777777" w:rsidTr="00AA692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A49D7" w14:textId="77777777" w:rsidR="0098212C" w:rsidRPr="0098212C" w:rsidRDefault="0098212C" w:rsidP="0098212C">
            <w:r w:rsidRPr="0098212C">
              <w:t>Proportion (%) of pupil premium eligible pupils</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82F81BA" w14:textId="77777777" w:rsidR="0098212C" w:rsidRPr="00AA6927" w:rsidRDefault="00DE1CBA" w:rsidP="0098212C">
            <w:r w:rsidRPr="00AA6927">
              <w:t>27.8%</w:t>
            </w:r>
          </w:p>
        </w:tc>
      </w:tr>
      <w:tr w:rsidR="0098212C" w:rsidRPr="0098212C" w14:paraId="0F21EF2F" w14:textId="77777777" w:rsidTr="00E4573A">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13A9C" w14:textId="77777777" w:rsidR="0098212C" w:rsidRPr="0098212C" w:rsidRDefault="0098212C" w:rsidP="0098212C">
            <w:r w:rsidRPr="0098212C">
              <w:t xml:space="preserve">Academic year/years that our current pupil premium strategy plan covers </w:t>
            </w:r>
            <w:r w:rsidRPr="0098212C">
              <w:rPr>
                <w:b/>
                <w:bCs/>
              </w:rPr>
              <w:t>(3 year plans are recommended)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24817" w14:textId="77777777" w:rsidR="0098212C" w:rsidRPr="00AA6927" w:rsidRDefault="0098212C" w:rsidP="0098212C">
            <w:r w:rsidRPr="00AA6927">
              <w:t xml:space="preserve">2021/2022 to </w:t>
            </w:r>
          </w:p>
          <w:p w14:paraId="3F1476E4" w14:textId="77777777" w:rsidR="0098212C" w:rsidRPr="00AA6927" w:rsidRDefault="0098212C" w:rsidP="0098212C">
            <w:r w:rsidRPr="00AA6927">
              <w:t>2024/2025</w:t>
            </w:r>
          </w:p>
        </w:tc>
      </w:tr>
      <w:tr w:rsidR="0098212C" w:rsidRPr="0098212C" w14:paraId="18A592CE" w14:textId="77777777" w:rsidTr="00E4573A">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19633" w14:textId="77777777" w:rsidR="0098212C" w:rsidRPr="0098212C" w:rsidRDefault="0098212C" w:rsidP="0098212C">
            <w:r w:rsidRPr="0098212C">
              <w:t>Date this statement was published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BD7E1" w14:textId="77777777" w:rsidR="0098212C" w:rsidRPr="00AA6927" w:rsidRDefault="0098212C" w:rsidP="0098212C">
            <w:r w:rsidRPr="00AA6927">
              <w:t>December 202</w:t>
            </w:r>
            <w:r w:rsidR="00D13179" w:rsidRPr="00AA6927">
              <w:t>2</w:t>
            </w:r>
          </w:p>
        </w:tc>
      </w:tr>
      <w:tr w:rsidR="0098212C" w:rsidRPr="0098212C" w14:paraId="7FAD74BC" w14:textId="77777777" w:rsidTr="00E4573A">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DA7ED" w14:textId="77777777" w:rsidR="0098212C" w:rsidRPr="0098212C" w:rsidRDefault="0098212C" w:rsidP="0098212C">
            <w:r w:rsidRPr="0098212C">
              <w:t>Date on which it will be reviewed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006B0" w14:textId="3CC30C79" w:rsidR="0098212C" w:rsidRPr="00AA6927" w:rsidRDefault="00B30A97" w:rsidP="00E4573A">
            <w:r w:rsidRPr="00AA6927">
              <w:t xml:space="preserve">November </w:t>
            </w:r>
            <w:r w:rsidR="00E4573A" w:rsidRPr="00AA6927">
              <w:t>202</w:t>
            </w:r>
            <w:r w:rsidR="00113380">
              <w:t>4</w:t>
            </w:r>
          </w:p>
        </w:tc>
      </w:tr>
      <w:tr w:rsidR="0098212C" w:rsidRPr="0098212C" w14:paraId="653DCD6F" w14:textId="77777777" w:rsidTr="00E4573A">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45898" w14:textId="77777777" w:rsidR="0098212C" w:rsidRPr="0098212C" w:rsidRDefault="0098212C" w:rsidP="0098212C">
            <w:r w:rsidRPr="0098212C">
              <w:t>Statement authorised by</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78247" w14:textId="77777777" w:rsidR="0098212C" w:rsidRPr="00AA6927" w:rsidRDefault="0098212C" w:rsidP="0098212C">
            <w:r w:rsidRPr="00AA6927">
              <w:rPr>
                <w:iCs/>
              </w:rPr>
              <w:t>M Hunt</w:t>
            </w:r>
            <w:r w:rsidRPr="00AA6927">
              <w:t>, Interim Headteacher</w:t>
            </w:r>
          </w:p>
        </w:tc>
      </w:tr>
      <w:tr w:rsidR="0098212C" w:rsidRPr="0098212C" w14:paraId="16AA608E" w14:textId="77777777" w:rsidTr="00E4573A">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F0E0B" w14:textId="77777777" w:rsidR="0098212C" w:rsidRPr="0098212C" w:rsidRDefault="0098212C" w:rsidP="0098212C">
            <w:r w:rsidRPr="0098212C">
              <w:t>Pupil premium lead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A72FE" w14:textId="77777777" w:rsidR="0098212C" w:rsidRPr="00AA6927" w:rsidRDefault="0098212C" w:rsidP="0098212C">
            <w:r w:rsidRPr="00AA6927">
              <w:rPr>
                <w:iCs/>
              </w:rPr>
              <w:t>B Russell</w:t>
            </w:r>
            <w:r w:rsidRPr="00AA6927">
              <w:t>, Assistant Headteacher</w:t>
            </w:r>
          </w:p>
        </w:tc>
      </w:tr>
      <w:tr w:rsidR="0098212C" w:rsidRPr="0098212C" w14:paraId="2C9A89D4" w14:textId="77777777" w:rsidTr="00AA6927">
        <w:tc>
          <w:tcPr>
            <w:tcW w:w="651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146D8BE" w14:textId="77777777" w:rsidR="0098212C" w:rsidRPr="0098212C" w:rsidRDefault="0098212C" w:rsidP="00104D86">
            <w:r w:rsidRPr="0098212C">
              <w:t>Governor lead</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5F5AA7F" w14:textId="77777777" w:rsidR="0098212C" w:rsidRPr="00AA6927" w:rsidRDefault="008C1046" w:rsidP="0098212C">
            <w:r w:rsidRPr="00AA6927">
              <w:rPr>
                <w:iCs/>
              </w:rPr>
              <w:t>Julian Finn</w:t>
            </w:r>
          </w:p>
        </w:tc>
      </w:tr>
    </w:tbl>
    <w:p w14:paraId="3FA64CA1" w14:textId="77777777" w:rsidR="009E50B8" w:rsidRDefault="009E50B8" w:rsidP="0098212C">
      <w:pPr>
        <w:rPr>
          <w:b/>
        </w:rPr>
      </w:pPr>
    </w:p>
    <w:p w14:paraId="6C124132" w14:textId="77777777" w:rsidR="009E530D" w:rsidRDefault="009E530D" w:rsidP="0098212C">
      <w:pPr>
        <w:rPr>
          <w:b/>
        </w:rPr>
      </w:pPr>
    </w:p>
    <w:p w14:paraId="4D9BAD74" w14:textId="77777777" w:rsidR="009E530D" w:rsidRDefault="009E530D" w:rsidP="0098212C">
      <w:pPr>
        <w:rPr>
          <w:b/>
        </w:rPr>
      </w:pPr>
    </w:p>
    <w:p w14:paraId="61AA60F3" w14:textId="77777777" w:rsidR="009E530D" w:rsidRDefault="009E530D" w:rsidP="0098212C">
      <w:pPr>
        <w:rPr>
          <w:b/>
        </w:rPr>
      </w:pPr>
    </w:p>
    <w:p w14:paraId="69D68252" w14:textId="685A0CCF" w:rsidR="0098212C" w:rsidRPr="0098212C" w:rsidRDefault="0098212C" w:rsidP="0098212C">
      <w:pPr>
        <w:rPr>
          <w:b/>
        </w:rPr>
      </w:pPr>
      <w:r w:rsidRPr="0098212C">
        <w:rPr>
          <w:b/>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98212C" w:rsidRPr="0098212C" w14:paraId="73742519" w14:textId="77777777" w:rsidTr="00E4573A">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655268B7" w14:textId="77777777" w:rsidR="0098212C" w:rsidRPr="0098212C" w:rsidRDefault="0098212C" w:rsidP="0098212C">
            <w:r w:rsidRPr="0098212C">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5882806" w14:textId="77777777" w:rsidR="0098212C" w:rsidRPr="0098212C" w:rsidRDefault="0098212C" w:rsidP="0098212C">
            <w:r w:rsidRPr="0098212C">
              <w:rPr>
                <w:b/>
              </w:rPr>
              <w:t>Amount</w:t>
            </w:r>
          </w:p>
        </w:tc>
      </w:tr>
      <w:tr w:rsidR="0098212C" w:rsidRPr="0098212C" w14:paraId="132C42FA" w14:textId="77777777" w:rsidTr="00AA692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C035C1" w14:textId="77777777" w:rsidR="0098212C" w:rsidRDefault="0098212C" w:rsidP="0098212C">
            <w:r w:rsidRPr="0098212C">
              <w:t>Pupil premium funding allocation this academic year</w:t>
            </w:r>
          </w:p>
          <w:p w14:paraId="6DDB08C0" w14:textId="77777777" w:rsidR="00151811" w:rsidRPr="0098212C" w:rsidRDefault="00151811" w:rsidP="0098212C">
            <w:r>
              <w:t>LAC</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6EB8D36" w14:textId="77777777" w:rsidR="0098212C" w:rsidRDefault="002A2A8C" w:rsidP="0098212C">
            <w:r>
              <w:t>£236,530</w:t>
            </w:r>
          </w:p>
          <w:p w14:paraId="159513FB" w14:textId="77777777" w:rsidR="00151811" w:rsidRPr="0098212C" w:rsidRDefault="00151811" w:rsidP="0098212C">
            <w:r>
              <w:t xml:space="preserve">     £2,000</w:t>
            </w:r>
          </w:p>
        </w:tc>
      </w:tr>
      <w:tr w:rsidR="0098212C" w:rsidRPr="0098212C" w14:paraId="7FD4A884" w14:textId="77777777" w:rsidTr="00AA692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122C8A" w14:textId="77777777" w:rsidR="0098212C" w:rsidRPr="0098212C" w:rsidRDefault="0098212C" w:rsidP="0098212C">
            <w:r w:rsidRPr="0098212C">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8437B0E" w14:textId="77777777" w:rsidR="0098212C" w:rsidRPr="0098212C" w:rsidRDefault="00B13ACD" w:rsidP="0098212C">
            <w:r>
              <w:t>£145,862</w:t>
            </w:r>
          </w:p>
        </w:tc>
      </w:tr>
      <w:tr w:rsidR="0098212C" w:rsidRPr="0098212C" w14:paraId="286DDED1" w14:textId="77777777" w:rsidTr="00AA692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51C764" w14:textId="77777777" w:rsidR="0098212C" w:rsidRPr="0098212C" w:rsidRDefault="0098212C" w:rsidP="0098212C">
            <w:r w:rsidRPr="0098212C">
              <w:t xml:space="preserve">Pupil premium (and recovery premium) funding carried forward from previous years </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85B0F7D" w14:textId="77777777" w:rsidR="0098212C" w:rsidRPr="0098212C" w:rsidRDefault="00B13ACD" w:rsidP="0098212C">
            <w:r>
              <w:t>0</w:t>
            </w:r>
          </w:p>
        </w:tc>
      </w:tr>
      <w:tr w:rsidR="0098212C" w:rsidRPr="0098212C" w14:paraId="3E098FE5" w14:textId="77777777" w:rsidTr="00AA692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9B871" w14:textId="77777777" w:rsidR="0098212C" w:rsidRPr="0098212C" w:rsidRDefault="0098212C" w:rsidP="0098212C">
            <w:pPr>
              <w:rPr>
                <w:b/>
              </w:rPr>
            </w:pPr>
            <w:r w:rsidRPr="0098212C">
              <w:rPr>
                <w:b/>
              </w:rPr>
              <w:t>Total budget for this academic year</w:t>
            </w:r>
          </w:p>
          <w:p w14:paraId="01F58997" w14:textId="77777777" w:rsidR="0098212C" w:rsidRPr="0098212C" w:rsidRDefault="0098212C" w:rsidP="0098212C"/>
        </w:tc>
        <w:tc>
          <w:tcPr>
            <w:tcW w:w="297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3AC24B8" w14:textId="77777777" w:rsidR="0098212C" w:rsidRPr="0098212C" w:rsidRDefault="00B13ACD" w:rsidP="0098212C">
            <w:r>
              <w:t>£38</w:t>
            </w:r>
            <w:r w:rsidR="00151811">
              <w:t>4</w:t>
            </w:r>
            <w:r>
              <w:t>,392</w:t>
            </w:r>
          </w:p>
        </w:tc>
      </w:tr>
    </w:tbl>
    <w:p w14:paraId="0FE22800" w14:textId="77777777" w:rsidR="0098212C" w:rsidRDefault="0098212C" w:rsidP="0098212C">
      <w:pPr>
        <w:rPr>
          <w:b/>
        </w:rPr>
      </w:pPr>
    </w:p>
    <w:p w14:paraId="244BBCE0" w14:textId="77777777" w:rsidR="0098212C" w:rsidRPr="0098212C" w:rsidRDefault="0098212C" w:rsidP="0098212C">
      <w:pPr>
        <w:rPr>
          <w:b/>
        </w:rPr>
      </w:pPr>
      <w:r w:rsidRPr="0098212C">
        <w:rPr>
          <w:b/>
        </w:rPr>
        <w:t>Part A: Pupil premium strategy plan</w:t>
      </w:r>
    </w:p>
    <w:p w14:paraId="0899AF0D" w14:textId="77777777" w:rsidR="0098212C" w:rsidRPr="0098212C" w:rsidRDefault="0098212C" w:rsidP="0098212C">
      <w:pPr>
        <w:rPr>
          <w:b/>
        </w:rPr>
      </w:pPr>
      <w:bookmarkStart w:id="9" w:name="_Toc357771640"/>
      <w:bookmarkStart w:id="10" w:name="_Toc346793418"/>
      <w:r w:rsidRPr="0098212C">
        <w:rPr>
          <w:b/>
        </w:rPr>
        <w:t>Statement of intent</w:t>
      </w:r>
    </w:p>
    <w:tbl>
      <w:tblPr>
        <w:tblW w:w="9486" w:type="dxa"/>
        <w:tblCellMar>
          <w:left w:w="10" w:type="dxa"/>
          <w:right w:w="10" w:type="dxa"/>
        </w:tblCellMar>
        <w:tblLook w:val="04A0" w:firstRow="1" w:lastRow="0" w:firstColumn="1" w:lastColumn="0" w:noHBand="0" w:noVBand="1"/>
      </w:tblPr>
      <w:tblGrid>
        <w:gridCol w:w="9486"/>
      </w:tblGrid>
      <w:tr w:rsidR="0098212C" w:rsidRPr="0098212C" w14:paraId="168C13BD" w14:textId="77777777" w:rsidTr="00E4573A">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D38C1" w14:textId="77777777" w:rsidR="0098212C" w:rsidRPr="0098212C" w:rsidRDefault="0098212C" w:rsidP="0098212C">
            <w:pPr>
              <w:rPr>
                <w:iCs/>
                <w:lang w:val="en-US"/>
              </w:rPr>
            </w:pPr>
            <w:r>
              <w:rPr>
                <w:iCs/>
              </w:rPr>
              <w:t xml:space="preserve">Our intention is that all </w:t>
            </w:r>
            <w:r w:rsidR="00C074AE">
              <w:rPr>
                <w:iCs/>
              </w:rPr>
              <w:t>pupils</w:t>
            </w:r>
            <w:r w:rsidRPr="0098212C">
              <w:rPr>
                <w:iCs/>
              </w:rPr>
              <w:t xml:space="preserve">, irrespective of their background or the challenges they face, make good progress and achieve high attainment across all subject areas. </w:t>
            </w:r>
            <w:r w:rsidRPr="0098212C">
              <w:rPr>
                <w:iCs/>
                <w:lang w:val="en-US"/>
              </w:rPr>
              <w:t xml:space="preserve">The focus of our pupil premium strategy is to support disadvantaged pupils to achieve that goal, including </w:t>
            </w:r>
            <w:r w:rsidR="00F46366">
              <w:rPr>
                <w:iCs/>
                <w:lang w:val="en-US"/>
              </w:rPr>
              <w:t xml:space="preserve">ensuring those </w:t>
            </w:r>
            <w:r w:rsidRPr="0098212C">
              <w:rPr>
                <w:iCs/>
                <w:lang w:val="en-US"/>
              </w:rPr>
              <w:t>who are already high attainers</w:t>
            </w:r>
            <w:r w:rsidR="00F46366">
              <w:rPr>
                <w:iCs/>
                <w:lang w:val="en-US"/>
              </w:rPr>
              <w:t xml:space="preserve"> make progress from their starting points</w:t>
            </w:r>
            <w:r w:rsidRPr="0098212C">
              <w:rPr>
                <w:iCs/>
                <w:lang w:val="en-US"/>
              </w:rPr>
              <w:t xml:space="preserve">. </w:t>
            </w:r>
          </w:p>
          <w:p w14:paraId="63D6EBF9" w14:textId="77777777" w:rsidR="0098212C" w:rsidRPr="0098212C" w:rsidRDefault="0098212C" w:rsidP="0098212C">
            <w:pPr>
              <w:rPr>
                <w:iCs/>
              </w:rPr>
            </w:pPr>
            <w:r w:rsidRPr="0098212C">
              <w:rPr>
                <w:iCs/>
                <w:lang w:val="en-US"/>
              </w:rPr>
              <w:t>We will consider the chall</w:t>
            </w:r>
            <w:r>
              <w:rPr>
                <w:iCs/>
                <w:lang w:val="en-US"/>
              </w:rPr>
              <w:t xml:space="preserve">enges faced by vulnerable </w:t>
            </w:r>
            <w:r w:rsidR="00C074AE">
              <w:rPr>
                <w:iCs/>
                <w:lang w:val="en-US"/>
              </w:rPr>
              <w:t>pupils</w:t>
            </w:r>
            <w:r w:rsidRPr="0098212C">
              <w:rPr>
                <w:iCs/>
                <w:lang w:val="en-US"/>
              </w:rPr>
              <w:t xml:space="preserve">, such as those who have a social worker and young </w:t>
            </w:r>
            <w:proofErr w:type="spellStart"/>
            <w:r w:rsidRPr="0098212C">
              <w:rPr>
                <w:iCs/>
                <w:lang w:val="en-US"/>
              </w:rPr>
              <w:t>carers</w:t>
            </w:r>
            <w:proofErr w:type="spellEnd"/>
            <w:r w:rsidRPr="0098212C">
              <w:rPr>
                <w:iCs/>
                <w:lang w:val="en-US"/>
              </w:rPr>
              <w:t>. The activity we have outlined in this statement is also intended to support their needs, regardless of whether they are disadvantaged or not.</w:t>
            </w:r>
          </w:p>
          <w:p w14:paraId="4727A193" w14:textId="77777777" w:rsidR="0098212C" w:rsidRPr="0098212C" w:rsidRDefault="0098212C" w:rsidP="0098212C">
            <w:pPr>
              <w:rPr>
                <w:iCs/>
                <w:lang w:val="en-US"/>
              </w:rPr>
            </w:pPr>
            <w:r w:rsidRPr="0098212C">
              <w:rPr>
                <w:iCs/>
                <w:lang w:val="en-US"/>
              </w:rPr>
              <w:t xml:space="preserve">High-quality teaching is at the heart of our approach, with a focus on areas in which disadvantaged </w:t>
            </w:r>
            <w:r w:rsidR="00C074AE">
              <w:rPr>
                <w:iCs/>
                <w:lang w:val="en-US"/>
              </w:rPr>
              <w:t>pupils</w:t>
            </w:r>
            <w:r w:rsidRPr="0098212C">
              <w:rPr>
                <w:iCs/>
                <w:lang w:val="en-US"/>
              </w:rPr>
              <w:t xml:space="preserve"> require the most support. This is proven to have the greatest impact on closing the disadvantage attainment gap and at the same time will benefit the non-disadvantaged </w:t>
            </w:r>
            <w:r w:rsidR="00C074AE">
              <w:rPr>
                <w:iCs/>
                <w:lang w:val="en-US"/>
              </w:rPr>
              <w:t>pupils</w:t>
            </w:r>
            <w:r w:rsidRPr="0098212C">
              <w:rPr>
                <w:iCs/>
                <w:lang w:val="en-US"/>
              </w:rPr>
              <w:t xml:space="preserve"> in our school. Implicit in the intended outcomes detailed below, is the intention that </w:t>
            </w:r>
            <w:r>
              <w:rPr>
                <w:iCs/>
                <w:lang w:val="en-US"/>
              </w:rPr>
              <w:t xml:space="preserve">attainment of </w:t>
            </w:r>
            <w:r w:rsidRPr="0098212C">
              <w:rPr>
                <w:iCs/>
                <w:lang w:val="en-US"/>
              </w:rPr>
              <w:t xml:space="preserve">non-disadvantaged </w:t>
            </w:r>
            <w:r w:rsidR="00C074AE">
              <w:rPr>
                <w:iCs/>
                <w:lang w:val="en-US"/>
              </w:rPr>
              <w:t>pupils</w:t>
            </w:r>
            <w:r>
              <w:rPr>
                <w:iCs/>
                <w:lang w:val="en-US"/>
              </w:rPr>
              <w:t xml:space="preserve"> </w:t>
            </w:r>
            <w:r w:rsidRPr="0098212C">
              <w:rPr>
                <w:iCs/>
                <w:lang w:val="en-US"/>
              </w:rPr>
              <w:t>will be sustained and improved alongside progress for their disadvantaged peers.</w:t>
            </w:r>
          </w:p>
          <w:p w14:paraId="566E5061" w14:textId="77777777" w:rsidR="0098212C" w:rsidRPr="0098212C" w:rsidRDefault="0098212C" w:rsidP="0098212C">
            <w:r w:rsidRPr="0098212C">
              <w:t>Our strategy is also integral to wider school plans for education recovery following the COVID-19 pandemic, notably in its targeted support through</w:t>
            </w:r>
            <w:r>
              <w:t xml:space="preserve"> the schools internal </w:t>
            </w:r>
            <w:r w:rsidRPr="0098212C">
              <w:t xml:space="preserve">Tutoring Programme for </w:t>
            </w:r>
            <w:r w:rsidR="00C074AE">
              <w:t>pupils</w:t>
            </w:r>
            <w:r w:rsidRPr="0098212C">
              <w:t xml:space="preserve"> whose education has been worst affected, including non-disadvantaged pupils.    </w:t>
            </w:r>
          </w:p>
          <w:p w14:paraId="610E7A1E" w14:textId="77777777" w:rsidR="0098212C" w:rsidRPr="0098212C" w:rsidRDefault="0098212C" w:rsidP="0098212C">
            <w:pPr>
              <w:rPr>
                <w:iCs/>
                <w:lang w:val="en-US"/>
              </w:rPr>
            </w:pPr>
            <w:r w:rsidRPr="0098212C">
              <w:rPr>
                <w:iCs/>
                <w:lang w:val="en-US"/>
              </w:rPr>
              <w:t>Our approach will be responsive to common challenges and individual needs, rooted in robust diagnostic assessment, not assumptions about the impact of disadvantage. The approaches we have adopted comp</w:t>
            </w:r>
            <w:r>
              <w:rPr>
                <w:iCs/>
                <w:lang w:val="en-US"/>
              </w:rPr>
              <w:t xml:space="preserve">lement each other to help all </w:t>
            </w:r>
            <w:r w:rsidR="00C074AE">
              <w:rPr>
                <w:iCs/>
                <w:lang w:val="en-US"/>
              </w:rPr>
              <w:t>pupils</w:t>
            </w:r>
            <w:r w:rsidRPr="0098212C">
              <w:rPr>
                <w:iCs/>
                <w:lang w:val="en-US"/>
              </w:rPr>
              <w:t xml:space="preserve"> excel. To ensure they are effective we will:</w:t>
            </w:r>
          </w:p>
          <w:p w14:paraId="036FCBC9" w14:textId="77777777" w:rsidR="0098212C" w:rsidRDefault="0098212C" w:rsidP="0098212C">
            <w:pPr>
              <w:numPr>
                <w:ilvl w:val="0"/>
                <w:numId w:val="1"/>
              </w:numPr>
              <w:rPr>
                <w:iCs/>
                <w:lang w:val="en-US"/>
              </w:rPr>
            </w:pPr>
            <w:r w:rsidRPr="0098212C">
              <w:rPr>
                <w:iCs/>
                <w:lang w:val="en-US"/>
              </w:rPr>
              <w:lastRenderedPageBreak/>
              <w:t>ensure disadvantaged pupils are challenged in the work that they’re set</w:t>
            </w:r>
          </w:p>
          <w:p w14:paraId="72E98D4C" w14:textId="77777777" w:rsidR="00104D86" w:rsidRPr="0098212C" w:rsidRDefault="00104D86" w:rsidP="0098212C">
            <w:pPr>
              <w:numPr>
                <w:ilvl w:val="0"/>
                <w:numId w:val="1"/>
              </w:numPr>
              <w:rPr>
                <w:iCs/>
                <w:lang w:val="en-US"/>
              </w:rPr>
            </w:pPr>
            <w:r>
              <w:rPr>
                <w:iCs/>
                <w:lang w:val="en-US"/>
              </w:rPr>
              <w:t xml:space="preserve">adopt </w:t>
            </w:r>
            <w:proofErr w:type="gramStart"/>
            <w:r>
              <w:rPr>
                <w:iCs/>
                <w:lang w:val="en-US"/>
              </w:rPr>
              <w:t>evidence based</w:t>
            </w:r>
            <w:proofErr w:type="gramEnd"/>
            <w:r>
              <w:rPr>
                <w:iCs/>
                <w:lang w:val="en-US"/>
              </w:rPr>
              <w:t xml:space="preserve"> teaching interventions to support accelerated progress and high attainment from individual starting points</w:t>
            </w:r>
          </w:p>
          <w:p w14:paraId="04DE8E0E" w14:textId="77777777" w:rsidR="0098212C" w:rsidRPr="00104D86" w:rsidRDefault="0098212C" w:rsidP="0098212C">
            <w:pPr>
              <w:numPr>
                <w:ilvl w:val="0"/>
                <w:numId w:val="1"/>
              </w:numPr>
              <w:rPr>
                <w:iCs/>
                <w:lang w:val="en-US"/>
              </w:rPr>
            </w:pPr>
            <w:r w:rsidRPr="0098212C">
              <w:t>act early to intervene at the point need is identified</w:t>
            </w:r>
          </w:p>
          <w:p w14:paraId="68FC62DC" w14:textId="77777777" w:rsidR="00152E99" w:rsidRPr="00152E99" w:rsidRDefault="00152E99" w:rsidP="00152E99">
            <w:pPr>
              <w:pStyle w:val="ListParagraph"/>
              <w:numPr>
                <w:ilvl w:val="0"/>
                <w:numId w:val="1"/>
              </w:numPr>
              <w:rPr>
                <w:iCs/>
                <w:lang w:val="en-US"/>
              </w:rPr>
            </w:pPr>
            <w:r w:rsidRPr="00152E99">
              <w:rPr>
                <w:iCs/>
                <w:lang w:val="en-US"/>
              </w:rPr>
              <w:t>ensure effective support to sustain positive mental health and well-being is a priority impact</w:t>
            </w:r>
            <w:r>
              <w:rPr>
                <w:iCs/>
                <w:lang w:val="en-US"/>
              </w:rPr>
              <w:t>ing</w:t>
            </w:r>
            <w:r w:rsidRPr="00152E99">
              <w:rPr>
                <w:iCs/>
                <w:lang w:val="en-US"/>
              </w:rPr>
              <w:t xml:space="preserve"> positively on improved outcomes at school and in later life</w:t>
            </w:r>
          </w:p>
          <w:p w14:paraId="35697F78" w14:textId="1F95822C" w:rsidR="00152E99" w:rsidRPr="00152E99" w:rsidRDefault="00152E99" w:rsidP="00152E99">
            <w:pPr>
              <w:numPr>
                <w:ilvl w:val="0"/>
                <w:numId w:val="1"/>
              </w:numPr>
              <w:rPr>
                <w:iCs/>
                <w:lang w:val="en-US"/>
              </w:rPr>
            </w:pPr>
            <w:r>
              <w:rPr>
                <w:iCs/>
                <w:lang w:val="en-US"/>
              </w:rPr>
              <w:t xml:space="preserve">continue to support children </w:t>
            </w:r>
            <w:r w:rsidR="00097E55">
              <w:rPr>
                <w:iCs/>
                <w:lang w:val="en-US"/>
              </w:rPr>
              <w:t>and families</w:t>
            </w:r>
            <w:r>
              <w:rPr>
                <w:iCs/>
                <w:lang w:val="en-US"/>
              </w:rPr>
              <w:t xml:space="preserve"> impacted by </w:t>
            </w:r>
            <w:r w:rsidRPr="00152E99">
              <w:rPr>
                <w:iCs/>
                <w:lang w:val="en-US"/>
              </w:rPr>
              <w:t xml:space="preserve">the effect of the pandemic </w:t>
            </w:r>
            <w:r>
              <w:rPr>
                <w:iCs/>
                <w:lang w:val="en-US"/>
              </w:rPr>
              <w:t xml:space="preserve">and current cost of living crisis and the impact of this </w:t>
            </w:r>
            <w:r w:rsidRPr="00152E99">
              <w:rPr>
                <w:iCs/>
                <w:lang w:val="en-US"/>
              </w:rPr>
              <w:t>on personal wellbeing, fin</w:t>
            </w:r>
            <w:r w:rsidR="002F46E4">
              <w:rPr>
                <w:iCs/>
                <w:lang w:val="en-US"/>
              </w:rPr>
              <w:t>ancial well-being and stability</w:t>
            </w:r>
          </w:p>
          <w:p w14:paraId="2B4BE780" w14:textId="77777777" w:rsidR="00152E99" w:rsidRPr="0098212C" w:rsidRDefault="00152E99" w:rsidP="00104D86">
            <w:pPr>
              <w:numPr>
                <w:ilvl w:val="0"/>
                <w:numId w:val="1"/>
              </w:numPr>
              <w:rPr>
                <w:iCs/>
                <w:lang w:val="en-US"/>
              </w:rPr>
            </w:pPr>
            <w:r>
              <w:t xml:space="preserve">ensure a breadth of extended school opportunity for </w:t>
            </w:r>
            <w:r w:rsidR="00F46366">
              <w:t xml:space="preserve">all including </w:t>
            </w:r>
            <w:r>
              <w:t>disadvantaged pupils</w:t>
            </w:r>
          </w:p>
          <w:p w14:paraId="19FCE93A" w14:textId="77777777" w:rsidR="0098212C" w:rsidRPr="0098212C" w:rsidRDefault="0098212C" w:rsidP="0098212C">
            <w:pPr>
              <w:numPr>
                <w:ilvl w:val="0"/>
                <w:numId w:val="1"/>
              </w:numPr>
              <w:rPr>
                <w:iCs/>
                <w:lang w:val="en-US"/>
              </w:rPr>
            </w:pPr>
            <w:r w:rsidRPr="0098212C">
              <w:t>adopt a whole school approach in which all staff take responsibility for disadvantaged pupils’ outcomes and raise expectations of what they can achieve</w:t>
            </w:r>
          </w:p>
        </w:tc>
      </w:tr>
    </w:tbl>
    <w:p w14:paraId="5D4D66E9" w14:textId="77777777" w:rsidR="00042ED8" w:rsidRDefault="00042ED8" w:rsidP="0098212C">
      <w:pPr>
        <w:rPr>
          <w:b/>
        </w:rPr>
      </w:pPr>
    </w:p>
    <w:p w14:paraId="7D71D82D" w14:textId="45AF8BAE" w:rsidR="0098212C" w:rsidRPr="009E530D" w:rsidRDefault="0098212C" w:rsidP="0098212C">
      <w:pPr>
        <w:rPr>
          <w:b/>
          <w:sz w:val="32"/>
          <w:szCs w:val="32"/>
        </w:rPr>
      </w:pPr>
      <w:r w:rsidRPr="009E530D">
        <w:rPr>
          <w:b/>
          <w:sz w:val="32"/>
          <w:szCs w:val="32"/>
        </w:rPr>
        <w:t>Challenges</w:t>
      </w:r>
    </w:p>
    <w:p w14:paraId="137F26E5" w14:textId="77777777" w:rsidR="0098212C" w:rsidRPr="0098212C" w:rsidRDefault="0098212C" w:rsidP="0098212C">
      <w:r w:rsidRPr="0098212C">
        <w:rPr>
          <w:bCs/>
        </w:rPr>
        <w:t>This details</w:t>
      </w:r>
      <w:r w:rsidRPr="0098212C">
        <w:t xml:space="preserve"> the key</w:t>
      </w:r>
      <w:r w:rsidRPr="0098212C">
        <w:rPr>
          <w:bCs/>
        </w:rPr>
        <w:t xml:space="preserve"> </w:t>
      </w:r>
      <w:r w:rsidRPr="0098212C">
        <w:t xml:space="preserve">challenges to </w:t>
      </w:r>
      <w:r w:rsidRPr="0098212C">
        <w:rPr>
          <w:bCs/>
        </w:rPr>
        <w:t>achievement that we have</w:t>
      </w:r>
      <w:r w:rsidRPr="0098212C">
        <w:t xml:space="preserve"> identified among </w:t>
      </w:r>
      <w:r w:rsidRPr="0098212C">
        <w:rPr>
          <w:bCs/>
        </w:rPr>
        <w:t>our</w:t>
      </w:r>
      <w:r w:rsidRPr="0098212C">
        <w:t xml:space="preserve"> disadvantaged pupils.</w:t>
      </w:r>
    </w:p>
    <w:tbl>
      <w:tblPr>
        <w:tblW w:w="5000" w:type="pct"/>
        <w:tblCellMar>
          <w:left w:w="10" w:type="dxa"/>
          <w:right w:w="10" w:type="dxa"/>
        </w:tblCellMar>
        <w:tblLook w:val="04A0" w:firstRow="1" w:lastRow="0" w:firstColumn="1" w:lastColumn="0" w:noHBand="0" w:noVBand="1"/>
      </w:tblPr>
      <w:tblGrid>
        <w:gridCol w:w="1129"/>
        <w:gridCol w:w="7887"/>
      </w:tblGrid>
      <w:tr w:rsidR="0098212C" w:rsidRPr="0098212C" w14:paraId="57BDCDC2" w14:textId="77777777" w:rsidTr="001F5790">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1003CC14" w14:textId="77777777" w:rsidR="0098212C" w:rsidRPr="0098212C" w:rsidRDefault="0098212C" w:rsidP="0098212C">
            <w:pPr>
              <w:rPr>
                <w:b/>
              </w:rPr>
            </w:pPr>
            <w:r w:rsidRPr="0098212C">
              <w:rPr>
                <w:b/>
              </w:rPr>
              <w:t>Challenge number</w:t>
            </w:r>
          </w:p>
        </w:tc>
        <w:tc>
          <w:tcPr>
            <w:tcW w:w="78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7CB8C72C" w14:textId="77777777" w:rsidR="0098212C" w:rsidRPr="0098212C" w:rsidRDefault="0098212C" w:rsidP="0098212C">
            <w:pPr>
              <w:rPr>
                <w:b/>
              </w:rPr>
            </w:pPr>
            <w:r w:rsidRPr="0098212C">
              <w:rPr>
                <w:b/>
              </w:rPr>
              <w:t xml:space="preserve">Detail of challenge </w:t>
            </w:r>
          </w:p>
        </w:tc>
      </w:tr>
      <w:tr w:rsidR="0098212C" w:rsidRPr="0098212C" w14:paraId="25F4FB70" w14:textId="77777777" w:rsidTr="001F5790">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8B5F2C" w14:textId="77777777" w:rsidR="0098212C" w:rsidRPr="0098212C" w:rsidRDefault="0098212C" w:rsidP="0098212C">
            <w:r w:rsidRPr="0098212C">
              <w:t>1</w:t>
            </w:r>
          </w:p>
        </w:tc>
        <w:tc>
          <w:tcPr>
            <w:tcW w:w="78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71490C" w14:textId="6795AE7C" w:rsidR="00291576" w:rsidRPr="0098212C" w:rsidRDefault="0098212C" w:rsidP="00EC4F41">
            <w:pPr>
              <w:rPr>
                <w:iCs/>
                <w:lang w:val="en-US"/>
              </w:rPr>
            </w:pPr>
            <w:r>
              <w:rPr>
                <w:iCs/>
                <w:lang w:val="en-US"/>
              </w:rPr>
              <w:t xml:space="preserve">Early Language skills and vocabulary gaps - </w:t>
            </w:r>
            <w:r w:rsidRPr="0098212C">
              <w:rPr>
                <w:iCs/>
                <w:lang w:val="en-US"/>
              </w:rPr>
              <w:t xml:space="preserve">Assessments, observations, and discussions with </w:t>
            </w:r>
            <w:r w:rsidR="00C074AE">
              <w:rPr>
                <w:iCs/>
                <w:lang w:val="en-US"/>
              </w:rPr>
              <w:t xml:space="preserve">pupils and staff </w:t>
            </w:r>
            <w:r w:rsidR="00AA6927">
              <w:rPr>
                <w:iCs/>
                <w:lang w:val="en-US"/>
              </w:rPr>
              <w:t xml:space="preserve">indicate underdeveloped </w:t>
            </w:r>
            <w:r w:rsidR="00AA6927" w:rsidRPr="008248D7">
              <w:rPr>
                <w:iCs/>
                <w:lang w:val="en-US"/>
              </w:rPr>
              <w:t>early</w:t>
            </w:r>
            <w:r w:rsidRPr="0098212C">
              <w:rPr>
                <w:iCs/>
                <w:lang w:val="en-US"/>
              </w:rPr>
              <w:t xml:space="preserve"> language skills and vocabulary gaps among many disadvantaged pupils. These are evident from </w:t>
            </w:r>
            <w:r w:rsidR="00F46366">
              <w:rPr>
                <w:iCs/>
                <w:lang w:val="en-US"/>
              </w:rPr>
              <w:t>Early</w:t>
            </w:r>
            <w:r w:rsidR="00EC4F41">
              <w:rPr>
                <w:iCs/>
                <w:lang w:val="en-US"/>
              </w:rPr>
              <w:t xml:space="preserve"> Years Foundation Stage</w:t>
            </w:r>
            <w:r w:rsidRPr="0098212C">
              <w:rPr>
                <w:iCs/>
                <w:lang w:val="en-US"/>
              </w:rPr>
              <w:t xml:space="preserve"> through to KS2 and in general, are more prevalent among our disadvantaged pupi</w:t>
            </w:r>
            <w:r w:rsidR="00291576" w:rsidRPr="0098212C">
              <w:rPr>
                <w:iCs/>
                <w:lang w:val="en-US"/>
              </w:rPr>
              <w:t>ls than their peers.</w:t>
            </w:r>
          </w:p>
          <w:tbl>
            <w:tblPr>
              <w:tblStyle w:val="TableGrid"/>
              <w:tblW w:w="0" w:type="auto"/>
              <w:tblLook w:val="04A0" w:firstRow="1" w:lastRow="0" w:firstColumn="1" w:lastColumn="0" w:noHBand="0" w:noVBand="1"/>
            </w:tblPr>
            <w:tblGrid>
              <w:gridCol w:w="1226"/>
              <w:gridCol w:w="1760"/>
              <w:gridCol w:w="1418"/>
              <w:gridCol w:w="2956"/>
            </w:tblGrid>
            <w:tr w:rsidR="007F68C5" w14:paraId="18AA633B" w14:textId="77777777" w:rsidTr="009E530D">
              <w:tc>
                <w:tcPr>
                  <w:tcW w:w="7360" w:type="dxa"/>
                  <w:gridSpan w:val="4"/>
                  <w:shd w:val="clear" w:color="auto" w:fill="00B0F0"/>
                </w:tcPr>
                <w:p w14:paraId="2A97B292" w14:textId="4357D540" w:rsidR="007F68C5" w:rsidRDefault="007F68C5" w:rsidP="00093CF9">
                  <w:pPr>
                    <w:jc w:val="center"/>
                    <w:rPr>
                      <w:iCs/>
                      <w:lang w:val="en-US"/>
                    </w:rPr>
                  </w:pPr>
                  <w:r>
                    <w:rPr>
                      <w:iCs/>
                      <w:lang w:val="en-US"/>
                    </w:rPr>
                    <w:t>EYFS Profile 2022</w:t>
                  </w:r>
                </w:p>
              </w:tc>
            </w:tr>
            <w:tr w:rsidR="007F68C5" w14:paraId="64D4AF45" w14:textId="77777777" w:rsidTr="007F68C5">
              <w:tc>
                <w:tcPr>
                  <w:tcW w:w="2986" w:type="dxa"/>
                  <w:gridSpan w:val="2"/>
                </w:tcPr>
                <w:p w14:paraId="5BADA041" w14:textId="6C5843C1" w:rsidR="007F68C5" w:rsidRDefault="007F68C5" w:rsidP="00EC4F41">
                  <w:pPr>
                    <w:rPr>
                      <w:iCs/>
                      <w:lang w:val="en-US"/>
                    </w:rPr>
                  </w:pPr>
                  <w:r>
                    <w:rPr>
                      <w:iCs/>
                      <w:lang w:val="en-US"/>
                    </w:rPr>
                    <w:t>Speaking</w:t>
                  </w:r>
                </w:p>
              </w:tc>
              <w:tc>
                <w:tcPr>
                  <w:tcW w:w="4374" w:type="dxa"/>
                  <w:gridSpan w:val="2"/>
                </w:tcPr>
                <w:p w14:paraId="59351788" w14:textId="61975549" w:rsidR="007F68C5" w:rsidRDefault="007F68C5" w:rsidP="00EC4F41">
                  <w:pPr>
                    <w:rPr>
                      <w:iCs/>
                      <w:lang w:val="en-US"/>
                    </w:rPr>
                  </w:pPr>
                  <w:r>
                    <w:rPr>
                      <w:iCs/>
                      <w:lang w:val="en-US"/>
                    </w:rPr>
                    <w:t>Listening, Attn &amp; Understanding</w:t>
                  </w:r>
                </w:p>
              </w:tc>
            </w:tr>
            <w:tr w:rsidR="007F68C5" w14:paraId="6F8F4E60" w14:textId="77777777" w:rsidTr="007F68C5">
              <w:tc>
                <w:tcPr>
                  <w:tcW w:w="1226" w:type="dxa"/>
                </w:tcPr>
                <w:p w14:paraId="4370C4F6" w14:textId="77777777" w:rsidR="007F68C5" w:rsidRDefault="007F68C5" w:rsidP="00EC4F41">
                  <w:pPr>
                    <w:rPr>
                      <w:iCs/>
                      <w:lang w:val="en-US"/>
                    </w:rPr>
                  </w:pPr>
                  <w:r>
                    <w:rPr>
                      <w:iCs/>
                      <w:lang w:val="en-US"/>
                    </w:rPr>
                    <w:t>FSM</w:t>
                  </w:r>
                </w:p>
              </w:tc>
              <w:tc>
                <w:tcPr>
                  <w:tcW w:w="1760" w:type="dxa"/>
                </w:tcPr>
                <w:p w14:paraId="4E54D55D" w14:textId="5BC5674A" w:rsidR="007F68C5" w:rsidRDefault="007F68C5" w:rsidP="00EC4F41">
                  <w:pPr>
                    <w:rPr>
                      <w:iCs/>
                      <w:lang w:val="en-US"/>
                    </w:rPr>
                  </w:pPr>
                  <w:r>
                    <w:rPr>
                      <w:iCs/>
                      <w:lang w:val="en-US"/>
                    </w:rPr>
                    <w:t>64%</w:t>
                  </w:r>
                </w:p>
              </w:tc>
              <w:tc>
                <w:tcPr>
                  <w:tcW w:w="1418" w:type="dxa"/>
                </w:tcPr>
                <w:p w14:paraId="2588C7F2" w14:textId="1B7AD519" w:rsidR="007F68C5" w:rsidRDefault="007F68C5" w:rsidP="00EC4F41">
                  <w:pPr>
                    <w:rPr>
                      <w:iCs/>
                      <w:lang w:val="en-US"/>
                    </w:rPr>
                  </w:pPr>
                  <w:r>
                    <w:rPr>
                      <w:iCs/>
                      <w:lang w:val="en-US"/>
                    </w:rPr>
                    <w:t>FSM</w:t>
                  </w:r>
                </w:p>
              </w:tc>
              <w:tc>
                <w:tcPr>
                  <w:tcW w:w="2956" w:type="dxa"/>
                </w:tcPr>
                <w:p w14:paraId="7B33068D" w14:textId="3BA6E08E" w:rsidR="007F68C5" w:rsidRDefault="007F68C5" w:rsidP="00EC4F41">
                  <w:pPr>
                    <w:rPr>
                      <w:iCs/>
                      <w:lang w:val="en-US"/>
                    </w:rPr>
                  </w:pPr>
                  <w:r>
                    <w:rPr>
                      <w:iCs/>
                      <w:lang w:val="en-US"/>
                    </w:rPr>
                    <w:t>73%</w:t>
                  </w:r>
                </w:p>
              </w:tc>
            </w:tr>
            <w:tr w:rsidR="007F68C5" w14:paraId="4E2FF49D" w14:textId="77777777" w:rsidTr="007F68C5">
              <w:tc>
                <w:tcPr>
                  <w:tcW w:w="1226" w:type="dxa"/>
                </w:tcPr>
                <w:p w14:paraId="5F18D1F4" w14:textId="77777777" w:rsidR="007F68C5" w:rsidRDefault="007F68C5" w:rsidP="00EC4F41">
                  <w:pPr>
                    <w:rPr>
                      <w:iCs/>
                      <w:lang w:val="en-US"/>
                    </w:rPr>
                  </w:pPr>
                  <w:r>
                    <w:rPr>
                      <w:iCs/>
                      <w:lang w:val="en-US"/>
                    </w:rPr>
                    <w:t xml:space="preserve">All others </w:t>
                  </w:r>
                </w:p>
              </w:tc>
              <w:tc>
                <w:tcPr>
                  <w:tcW w:w="1760" w:type="dxa"/>
                </w:tcPr>
                <w:p w14:paraId="67BE9C27" w14:textId="2A8D7C3A" w:rsidR="007F68C5" w:rsidRDefault="007F68C5" w:rsidP="00EC4F41">
                  <w:pPr>
                    <w:rPr>
                      <w:iCs/>
                      <w:lang w:val="en-US"/>
                    </w:rPr>
                  </w:pPr>
                  <w:r>
                    <w:rPr>
                      <w:iCs/>
                      <w:lang w:val="en-US"/>
                    </w:rPr>
                    <w:t>90%</w:t>
                  </w:r>
                </w:p>
              </w:tc>
              <w:tc>
                <w:tcPr>
                  <w:tcW w:w="1418" w:type="dxa"/>
                </w:tcPr>
                <w:p w14:paraId="53257850" w14:textId="2F8CC7D7" w:rsidR="007F68C5" w:rsidRDefault="007F68C5" w:rsidP="00EC4F41">
                  <w:pPr>
                    <w:rPr>
                      <w:iCs/>
                      <w:lang w:val="en-US"/>
                    </w:rPr>
                  </w:pPr>
                  <w:r>
                    <w:rPr>
                      <w:iCs/>
                      <w:lang w:val="en-US"/>
                    </w:rPr>
                    <w:t>All others</w:t>
                  </w:r>
                </w:p>
              </w:tc>
              <w:tc>
                <w:tcPr>
                  <w:tcW w:w="2956" w:type="dxa"/>
                </w:tcPr>
                <w:p w14:paraId="4CFAD7A7" w14:textId="0089025A" w:rsidR="007F68C5" w:rsidRDefault="007F68C5" w:rsidP="00EC4F41">
                  <w:pPr>
                    <w:rPr>
                      <w:iCs/>
                      <w:lang w:val="en-US"/>
                    </w:rPr>
                  </w:pPr>
                  <w:r>
                    <w:rPr>
                      <w:iCs/>
                      <w:lang w:val="en-US"/>
                    </w:rPr>
                    <w:t>94%</w:t>
                  </w:r>
                </w:p>
              </w:tc>
            </w:tr>
          </w:tbl>
          <w:p w14:paraId="28CEF0B4" w14:textId="0F6BE643" w:rsidR="00291576" w:rsidRPr="0098212C" w:rsidRDefault="00291576" w:rsidP="00291576">
            <w:pPr>
              <w:rPr>
                <w:iCs/>
                <w:lang w:val="en-US"/>
              </w:rPr>
            </w:pPr>
          </w:p>
        </w:tc>
      </w:tr>
      <w:tr w:rsidR="0098212C" w:rsidRPr="0098212C" w14:paraId="151CCEAB" w14:textId="77777777" w:rsidTr="001F5790">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5ECD8E" w14:textId="77777777" w:rsidR="0098212C" w:rsidRPr="0098212C" w:rsidRDefault="0098212C" w:rsidP="0098212C">
            <w:r w:rsidRPr="0098212C">
              <w:t>2</w:t>
            </w:r>
          </w:p>
        </w:tc>
        <w:tc>
          <w:tcPr>
            <w:tcW w:w="78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69AF11" w14:textId="77777777" w:rsidR="0098212C" w:rsidRDefault="0098212C" w:rsidP="0098212C">
            <w:pPr>
              <w:rPr>
                <w:lang w:val="en-US"/>
              </w:rPr>
            </w:pPr>
            <w:r w:rsidRPr="0098212C">
              <w:rPr>
                <w:lang w:val="en-US"/>
              </w:rPr>
              <w:t>Early Phonics -</w:t>
            </w:r>
            <w:r>
              <w:rPr>
                <w:lang w:val="en-US"/>
              </w:rPr>
              <w:t xml:space="preserve"> </w:t>
            </w:r>
            <w:r w:rsidRPr="0098212C">
              <w:rPr>
                <w:lang w:val="en-US"/>
              </w:rPr>
              <w:t xml:space="preserve">Assessments, observations, and discussions with pupils suggest disadvantaged pupils generally have greater difficulties with phonics than their peers. This negatively impacts their development as readers. </w:t>
            </w:r>
          </w:p>
          <w:tbl>
            <w:tblPr>
              <w:tblStyle w:val="TableGrid"/>
              <w:tblW w:w="0" w:type="auto"/>
              <w:tblLook w:val="04A0" w:firstRow="1" w:lastRow="0" w:firstColumn="1" w:lastColumn="0" w:noHBand="0" w:noVBand="1"/>
            </w:tblPr>
            <w:tblGrid>
              <w:gridCol w:w="1840"/>
              <w:gridCol w:w="1840"/>
              <w:gridCol w:w="1840"/>
              <w:gridCol w:w="1840"/>
            </w:tblGrid>
            <w:tr w:rsidR="00EB56B4" w14:paraId="3BCA0791" w14:textId="77777777" w:rsidTr="009E530D">
              <w:tc>
                <w:tcPr>
                  <w:tcW w:w="7360" w:type="dxa"/>
                  <w:gridSpan w:val="4"/>
                  <w:shd w:val="clear" w:color="auto" w:fill="00B0F0"/>
                </w:tcPr>
                <w:p w14:paraId="092717D5" w14:textId="236D46D8" w:rsidR="00EB56B4" w:rsidRDefault="00EB56B4" w:rsidP="00EB56B4">
                  <w:pPr>
                    <w:jc w:val="center"/>
                    <w:rPr>
                      <w:lang w:val="en-US"/>
                    </w:rPr>
                  </w:pPr>
                  <w:r>
                    <w:rPr>
                      <w:lang w:val="en-US"/>
                    </w:rPr>
                    <w:t>Phonics Year</w:t>
                  </w:r>
                  <w:r w:rsidR="00876FFA">
                    <w:rPr>
                      <w:lang w:val="en-US"/>
                    </w:rPr>
                    <w:t>s</w:t>
                  </w:r>
                  <w:r>
                    <w:rPr>
                      <w:lang w:val="en-US"/>
                    </w:rPr>
                    <w:t xml:space="preserve"> 1</w:t>
                  </w:r>
                  <w:r w:rsidR="00876FFA">
                    <w:rPr>
                      <w:lang w:val="en-US"/>
                    </w:rPr>
                    <w:t>&amp;2</w:t>
                  </w:r>
                </w:p>
              </w:tc>
            </w:tr>
            <w:tr w:rsidR="00EB56B4" w14:paraId="39C8ECA1" w14:textId="77777777" w:rsidTr="00EB56B4">
              <w:tc>
                <w:tcPr>
                  <w:tcW w:w="1840" w:type="dxa"/>
                </w:tcPr>
                <w:p w14:paraId="50912090" w14:textId="77777777" w:rsidR="00EB56B4" w:rsidRDefault="00EB56B4" w:rsidP="0098212C">
                  <w:pPr>
                    <w:rPr>
                      <w:lang w:val="en-US"/>
                    </w:rPr>
                  </w:pPr>
                </w:p>
              </w:tc>
              <w:tc>
                <w:tcPr>
                  <w:tcW w:w="1840" w:type="dxa"/>
                </w:tcPr>
                <w:p w14:paraId="6A9B1AD0" w14:textId="36529379" w:rsidR="00EB56B4" w:rsidRDefault="002B37FD" w:rsidP="0098212C">
                  <w:pPr>
                    <w:rPr>
                      <w:lang w:val="en-US"/>
                    </w:rPr>
                  </w:pPr>
                  <w:r>
                    <w:rPr>
                      <w:lang w:val="en-US"/>
                    </w:rPr>
                    <w:t>2018</w:t>
                  </w:r>
                </w:p>
              </w:tc>
              <w:tc>
                <w:tcPr>
                  <w:tcW w:w="1840" w:type="dxa"/>
                </w:tcPr>
                <w:p w14:paraId="5B6089FB" w14:textId="0BFF8984" w:rsidR="00EB56B4" w:rsidRDefault="002B37FD" w:rsidP="0098212C">
                  <w:pPr>
                    <w:rPr>
                      <w:lang w:val="en-US"/>
                    </w:rPr>
                  </w:pPr>
                  <w:r>
                    <w:rPr>
                      <w:lang w:val="en-US"/>
                    </w:rPr>
                    <w:t>2019</w:t>
                  </w:r>
                </w:p>
              </w:tc>
              <w:tc>
                <w:tcPr>
                  <w:tcW w:w="1840" w:type="dxa"/>
                </w:tcPr>
                <w:p w14:paraId="219A5C05" w14:textId="7ECBC870" w:rsidR="00EB56B4" w:rsidRDefault="002B37FD" w:rsidP="0098212C">
                  <w:pPr>
                    <w:rPr>
                      <w:lang w:val="en-US"/>
                    </w:rPr>
                  </w:pPr>
                  <w:r>
                    <w:rPr>
                      <w:lang w:val="en-US"/>
                    </w:rPr>
                    <w:t>2022</w:t>
                  </w:r>
                </w:p>
              </w:tc>
            </w:tr>
            <w:tr w:rsidR="00EB56B4" w14:paraId="75A8B0AC" w14:textId="77777777" w:rsidTr="00EB56B4">
              <w:tc>
                <w:tcPr>
                  <w:tcW w:w="1840" w:type="dxa"/>
                </w:tcPr>
                <w:p w14:paraId="6C2ABAE5" w14:textId="5EC47683" w:rsidR="00EB56B4" w:rsidRDefault="002B37FD" w:rsidP="0098212C">
                  <w:pPr>
                    <w:rPr>
                      <w:lang w:val="en-US"/>
                    </w:rPr>
                  </w:pPr>
                  <w:r>
                    <w:rPr>
                      <w:lang w:val="en-US"/>
                    </w:rPr>
                    <w:t>FSM</w:t>
                  </w:r>
                </w:p>
              </w:tc>
              <w:tc>
                <w:tcPr>
                  <w:tcW w:w="1840" w:type="dxa"/>
                </w:tcPr>
                <w:p w14:paraId="3E50DE4D" w14:textId="25FE4E73" w:rsidR="00EB56B4" w:rsidRDefault="00BC539A" w:rsidP="0098212C">
                  <w:pPr>
                    <w:rPr>
                      <w:lang w:val="en-US"/>
                    </w:rPr>
                  </w:pPr>
                  <w:r>
                    <w:rPr>
                      <w:lang w:val="en-US"/>
                    </w:rPr>
                    <w:t>69</w:t>
                  </w:r>
                  <w:r w:rsidR="002B37FD">
                    <w:rPr>
                      <w:lang w:val="en-US"/>
                    </w:rPr>
                    <w:t>%</w:t>
                  </w:r>
                </w:p>
              </w:tc>
              <w:tc>
                <w:tcPr>
                  <w:tcW w:w="1840" w:type="dxa"/>
                </w:tcPr>
                <w:p w14:paraId="3F6CF43C" w14:textId="5954CEBF" w:rsidR="00EB56B4" w:rsidRDefault="004104D9" w:rsidP="0098212C">
                  <w:pPr>
                    <w:rPr>
                      <w:lang w:val="en-US"/>
                    </w:rPr>
                  </w:pPr>
                  <w:r>
                    <w:rPr>
                      <w:lang w:val="en-US"/>
                    </w:rPr>
                    <w:t>92</w:t>
                  </w:r>
                  <w:r w:rsidR="002B37FD">
                    <w:rPr>
                      <w:lang w:val="en-US"/>
                    </w:rPr>
                    <w:t>%</w:t>
                  </w:r>
                </w:p>
              </w:tc>
              <w:tc>
                <w:tcPr>
                  <w:tcW w:w="1840" w:type="dxa"/>
                </w:tcPr>
                <w:p w14:paraId="51E2677B" w14:textId="057B0BAA" w:rsidR="00EB56B4" w:rsidRDefault="004104D9" w:rsidP="0098212C">
                  <w:pPr>
                    <w:rPr>
                      <w:lang w:val="en-US"/>
                    </w:rPr>
                  </w:pPr>
                  <w:r>
                    <w:rPr>
                      <w:lang w:val="en-US"/>
                    </w:rPr>
                    <w:t>76</w:t>
                  </w:r>
                  <w:r w:rsidR="002B37FD">
                    <w:rPr>
                      <w:lang w:val="en-US"/>
                    </w:rPr>
                    <w:t>%</w:t>
                  </w:r>
                </w:p>
              </w:tc>
            </w:tr>
            <w:tr w:rsidR="00EB56B4" w14:paraId="7A4C615A" w14:textId="77777777" w:rsidTr="00EB56B4">
              <w:tc>
                <w:tcPr>
                  <w:tcW w:w="1840" w:type="dxa"/>
                </w:tcPr>
                <w:p w14:paraId="638EB244" w14:textId="5EF041FE" w:rsidR="00EB56B4" w:rsidRDefault="002B37FD" w:rsidP="0098212C">
                  <w:pPr>
                    <w:rPr>
                      <w:lang w:val="en-US"/>
                    </w:rPr>
                  </w:pPr>
                  <w:r>
                    <w:rPr>
                      <w:lang w:val="en-US"/>
                    </w:rPr>
                    <w:t>All others</w:t>
                  </w:r>
                </w:p>
              </w:tc>
              <w:tc>
                <w:tcPr>
                  <w:tcW w:w="1840" w:type="dxa"/>
                </w:tcPr>
                <w:p w14:paraId="7459B73D" w14:textId="7BB0533A" w:rsidR="00EB56B4" w:rsidRDefault="002B37FD" w:rsidP="0098212C">
                  <w:pPr>
                    <w:rPr>
                      <w:lang w:val="en-US"/>
                    </w:rPr>
                  </w:pPr>
                  <w:r>
                    <w:rPr>
                      <w:lang w:val="en-US"/>
                    </w:rPr>
                    <w:t>8</w:t>
                  </w:r>
                  <w:r w:rsidR="004104D9">
                    <w:rPr>
                      <w:lang w:val="en-US"/>
                    </w:rPr>
                    <w:t>6</w:t>
                  </w:r>
                  <w:r>
                    <w:rPr>
                      <w:lang w:val="en-US"/>
                    </w:rPr>
                    <w:t>%</w:t>
                  </w:r>
                </w:p>
              </w:tc>
              <w:tc>
                <w:tcPr>
                  <w:tcW w:w="1840" w:type="dxa"/>
                </w:tcPr>
                <w:p w14:paraId="30D78583" w14:textId="5EB52CAE" w:rsidR="00EB56B4" w:rsidRDefault="002B37FD" w:rsidP="0098212C">
                  <w:pPr>
                    <w:rPr>
                      <w:lang w:val="en-US"/>
                    </w:rPr>
                  </w:pPr>
                  <w:r>
                    <w:rPr>
                      <w:lang w:val="en-US"/>
                    </w:rPr>
                    <w:t>8</w:t>
                  </w:r>
                  <w:r w:rsidR="004104D9">
                    <w:rPr>
                      <w:lang w:val="en-US"/>
                    </w:rPr>
                    <w:t>7</w:t>
                  </w:r>
                  <w:r>
                    <w:rPr>
                      <w:lang w:val="en-US"/>
                    </w:rPr>
                    <w:t>%</w:t>
                  </w:r>
                </w:p>
              </w:tc>
              <w:tc>
                <w:tcPr>
                  <w:tcW w:w="1840" w:type="dxa"/>
                </w:tcPr>
                <w:p w14:paraId="5729D139" w14:textId="1BA5A250" w:rsidR="00EB56B4" w:rsidRDefault="004104D9" w:rsidP="0098212C">
                  <w:pPr>
                    <w:rPr>
                      <w:lang w:val="en-US"/>
                    </w:rPr>
                  </w:pPr>
                  <w:r>
                    <w:rPr>
                      <w:lang w:val="en-US"/>
                    </w:rPr>
                    <w:t>85</w:t>
                  </w:r>
                  <w:r w:rsidR="002B37FD">
                    <w:rPr>
                      <w:lang w:val="en-US"/>
                    </w:rPr>
                    <w:t>%</w:t>
                  </w:r>
                </w:p>
              </w:tc>
            </w:tr>
          </w:tbl>
          <w:p w14:paraId="4A00A092" w14:textId="6E0BE554" w:rsidR="00EB56B4" w:rsidRPr="0098212C" w:rsidRDefault="00EB56B4" w:rsidP="0098212C">
            <w:pPr>
              <w:rPr>
                <w:lang w:val="en-US"/>
              </w:rPr>
            </w:pPr>
          </w:p>
        </w:tc>
      </w:tr>
      <w:tr w:rsidR="0098212C" w:rsidRPr="0098212C" w14:paraId="252A663F" w14:textId="77777777" w:rsidTr="001F5790">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31307E" w14:textId="77777777" w:rsidR="0098212C" w:rsidRPr="0098212C" w:rsidRDefault="0098212C" w:rsidP="0098212C">
            <w:r w:rsidRPr="0098212C">
              <w:t>3</w:t>
            </w:r>
          </w:p>
        </w:tc>
        <w:tc>
          <w:tcPr>
            <w:tcW w:w="78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312882" w14:textId="1E00A07B" w:rsidR="0098212C" w:rsidRDefault="0098212C" w:rsidP="0098212C">
            <w:pPr>
              <w:rPr>
                <w:iCs/>
                <w:lang w:val="en-US"/>
              </w:rPr>
            </w:pPr>
            <w:proofErr w:type="spellStart"/>
            <w:r w:rsidRPr="0098212C">
              <w:rPr>
                <w:iCs/>
                <w:lang w:val="en-US"/>
              </w:rPr>
              <w:t>Maths</w:t>
            </w:r>
            <w:proofErr w:type="spellEnd"/>
            <w:r w:rsidRPr="0098212C">
              <w:rPr>
                <w:iCs/>
                <w:lang w:val="en-US"/>
              </w:rPr>
              <w:t xml:space="preserve"> – Although attainmen</w:t>
            </w:r>
            <w:r>
              <w:rPr>
                <w:iCs/>
                <w:lang w:val="en-US"/>
              </w:rPr>
              <w:t xml:space="preserve">t for disadvantaged </w:t>
            </w:r>
            <w:r w:rsidR="00C074AE">
              <w:rPr>
                <w:iCs/>
                <w:lang w:val="en-US"/>
              </w:rPr>
              <w:t>pupils</w:t>
            </w:r>
            <w:r>
              <w:rPr>
                <w:iCs/>
                <w:lang w:val="en-US"/>
              </w:rPr>
              <w:t xml:space="preserve"> historically prior to 2022 has been </w:t>
            </w:r>
            <w:r w:rsidRPr="0098212C">
              <w:rPr>
                <w:iCs/>
                <w:lang w:val="en-US"/>
              </w:rPr>
              <w:t>above National all, pro</w:t>
            </w:r>
            <w:r w:rsidR="00F46366">
              <w:rPr>
                <w:iCs/>
                <w:lang w:val="en-US"/>
              </w:rPr>
              <w:t xml:space="preserve">gress in </w:t>
            </w:r>
            <w:proofErr w:type="spellStart"/>
            <w:r w:rsidR="00F46366">
              <w:rPr>
                <w:iCs/>
                <w:lang w:val="en-US"/>
              </w:rPr>
              <w:t>Maths</w:t>
            </w:r>
            <w:proofErr w:type="spellEnd"/>
            <w:r w:rsidR="00F46366">
              <w:rPr>
                <w:iCs/>
                <w:lang w:val="en-US"/>
              </w:rPr>
              <w:t xml:space="preserve"> is not in line with reading</w:t>
            </w:r>
            <w:r w:rsidRPr="0098212C">
              <w:rPr>
                <w:iCs/>
                <w:lang w:val="en-US"/>
              </w:rPr>
              <w:t xml:space="preserve">. Our aim is to </w:t>
            </w:r>
            <w:r w:rsidRPr="0098212C">
              <w:rPr>
                <w:iCs/>
                <w:lang w:val="en-US"/>
              </w:rPr>
              <w:lastRenderedPageBreak/>
              <w:t xml:space="preserve">accelerate </w:t>
            </w:r>
            <w:r w:rsidR="00C074AE">
              <w:rPr>
                <w:iCs/>
                <w:lang w:val="en-US"/>
              </w:rPr>
              <w:t>pupils’</w:t>
            </w:r>
            <w:r w:rsidRPr="0098212C">
              <w:rPr>
                <w:iCs/>
                <w:lang w:val="en-US"/>
              </w:rPr>
              <w:t xml:space="preserve"> progress in </w:t>
            </w:r>
            <w:proofErr w:type="spellStart"/>
            <w:r w:rsidRPr="0098212C">
              <w:rPr>
                <w:iCs/>
                <w:lang w:val="en-US"/>
              </w:rPr>
              <w:t>Maths</w:t>
            </w:r>
            <w:proofErr w:type="spellEnd"/>
            <w:r w:rsidRPr="0098212C">
              <w:rPr>
                <w:iCs/>
                <w:lang w:val="en-US"/>
              </w:rPr>
              <w:t xml:space="preserve"> to be within the National acceptable progress measure</w:t>
            </w:r>
            <w:r>
              <w:rPr>
                <w:iCs/>
                <w:lang w:val="en-US"/>
              </w:rPr>
              <w:t xml:space="preserve">. </w:t>
            </w:r>
            <w:r w:rsidR="00F46366">
              <w:rPr>
                <w:iCs/>
                <w:lang w:val="en-US"/>
              </w:rPr>
              <w:t>E</w:t>
            </w:r>
            <w:r w:rsidRPr="0098212C">
              <w:rPr>
                <w:iCs/>
                <w:lang w:val="en-US"/>
              </w:rPr>
              <w:t>xternal assessments</w:t>
            </w:r>
            <w:r w:rsidR="00152E99">
              <w:rPr>
                <w:iCs/>
                <w:lang w:val="en-US"/>
              </w:rPr>
              <w:t xml:space="preserve"> (2022)</w:t>
            </w:r>
            <w:r w:rsidRPr="0098212C">
              <w:rPr>
                <w:iCs/>
                <w:lang w:val="en-US"/>
              </w:rPr>
              <w:t xml:space="preserve"> indicate that </w:t>
            </w:r>
            <w:proofErr w:type="spellStart"/>
            <w:r w:rsidRPr="0098212C">
              <w:rPr>
                <w:iCs/>
                <w:lang w:val="en-US"/>
              </w:rPr>
              <w:t>maths</w:t>
            </w:r>
            <w:proofErr w:type="spellEnd"/>
            <w:r w:rsidRPr="0098212C">
              <w:rPr>
                <w:iCs/>
                <w:lang w:val="en-US"/>
              </w:rPr>
              <w:t xml:space="preserve"> attainment among disadvantaged pupils is </w:t>
            </w:r>
            <w:r w:rsidRPr="00CD10D3">
              <w:rPr>
                <w:iCs/>
                <w:lang w:val="en-US"/>
              </w:rPr>
              <w:t>below</w:t>
            </w:r>
            <w:r>
              <w:rPr>
                <w:iCs/>
                <w:lang w:val="en-US"/>
              </w:rPr>
              <w:t xml:space="preserve"> </w:t>
            </w:r>
            <w:r w:rsidRPr="0098212C">
              <w:rPr>
                <w:iCs/>
                <w:lang w:val="en-US"/>
              </w:rPr>
              <w:t xml:space="preserve">that of non-disadvantaged pupils. </w:t>
            </w:r>
          </w:p>
          <w:tbl>
            <w:tblPr>
              <w:tblStyle w:val="TableGrid"/>
              <w:tblW w:w="0" w:type="auto"/>
              <w:tblLook w:val="04A0" w:firstRow="1" w:lastRow="0" w:firstColumn="1" w:lastColumn="0" w:noHBand="0" w:noVBand="1"/>
            </w:tblPr>
            <w:tblGrid>
              <w:gridCol w:w="1840"/>
              <w:gridCol w:w="1840"/>
              <w:gridCol w:w="1840"/>
              <w:gridCol w:w="1840"/>
            </w:tblGrid>
            <w:tr w:rsidR="0089557B" w14:paraId="2AEB7B52" w14:textId="77777777" w:rsidTr="009E530D">
              <w:tc>
                <w:tcPr>
                  <w:tcW w:w="7360" w:type="dxa"/>
                  <w:gridSpan w:val="4"/>
                  <w:shd w:val="clear" w:color="auto" w:fill="00B0F0"/>
                </w:tcPr>
                <w:p w14:paraId="63A4234F" w14:textId="4B128B49" w:rsidR="0089557B" w:rsidRDefault="0089557B" w:rsidP="0089557B">
                  <w:pPr>
                    <w:jc w:val="center"/>
                    <w:rPr>
                      <w:iCs/>
                      <w:lang w:val="en-US"/>
                    </w:rPr>
                  </w:pPr>
                  <w:proofErr w:type="spellStart"/>
                  <w:r>
                    <w:rPr>
                      <w:iCs/>
                      <w:lang w:val="en-US"/>
                    </w:rPr>
                    <w:t>Maths</w:t>
                  </w:r>
                  <w:proofErr w:type="spellEnd"/>
                  <w:r>
                    <w:rPr>
                      <w:iCs/>
                      <w:lang w:val="en-US"/>
                    </w:rPr>
                    <w:t xml:space="preserve"> KS1</w:t>
                  </w:r>
                </w:p>
              </w:tc>
            </w:tr>
            <w:tr w:rsidR="0089557B" w14:paraId="0C952711" w14:textId="77777777" w:rsidTr="0089557B">
              <w:tc>
                <w:tcPr>
                  <w:tcW w:w="1840" w:type="dxa"/>
                </w:tcPr>
                <w:p w14:paraId="26E6C8AA" w14:textId="77777777" w:rsidR="0089557B" w:rsidRDefault="0089557B" w:rsidP="0089557B">
                  <w:pPr>
                    <w:rPr>
                      <w:iCs/>
                      <w:lang w:val="en-US"/>
                    </w:rPr>
                  </w:pPr>
                </w:p>
              </w:tc>
              <w:tc>
                <w:tcPr>
                  <w:tcW w:w="1840" w:type="dxa"/>
                </w:tcPr>
                <w:p w14:paraId="7EACED5B" w14:textId="4E004D90" w:rsidR="0089557B" w:rsidRDefault="0089557B" w:rsidP="0089557B">
                  <w:pPr>
                    <w:rPr>
                      <w:iCs/>
                      <w:lang w:val="en-US"/>
                    </w:rPr>
                  </w:pPr>
                  <w:r>
                    <w:rPr>
                      <w:lang w:val="en-US"/>
                    </w:rPr>
                    <w:t>2018</w:t>
                  </w:r>
                </w:p>
              </w:tc>
              <w:tc>
                <w:tcPr>
                  <w:tcW w:w="1840" w:type="dxa"/>
                </w:tcPr>
                <w:p w14:paraId="4B1AC6D3" w14:textId="7CAC6F64" w:rsidR="0089557B" w:rsidRDefault="0089557B" w:rsidP="0089557B">
                  <w:pPr>
                    <w:rPr>
                      <w:iCs/>
                      <w:lang w:val="en-US"/>
                    </w:rPr>
                  </w:pPr>
                  <w:r>
                    <w:rPr>
                      <w:lang w:val="en-US"/>
                    </w:rPr>
                    <w:t>2019</w:t>
                  </w:r>
                </w:p>
              </w:tc>
              <w:tc>
                <w:tcPr>
                  <w:tcW w:w="1840" w:type="dxa"/>
                </w:tcPr>
                <w:p w14:paraId="5D4A75C6" w14:textId="7E3A469C" w:rsidR="0089557B" w:rsidRDefault="0089557B" w:rsidP="0089557B">
                  <w:pPr>
                    <w:rPr>
                      <w:iCs/>
                      <w:lang w:val="en-US"/>
                    </w:rPr>
                  </w:pPr>
                  <w:r>
                    <w:rPr>
                      <w:lang w:val="en-US"/>
                    </w:rPr>
                    <w:t>2022</w:t>
                  </w:r>
                </w:p>
              </w:tc>
            </w:tr>
            <w:tr w:rsidR="0089557B" w14:paraId="775C8A0E" w14:textId="77777777" w:rsidTr="0089557B">
              <w:tc>
                <w:tcPr>
                  <w:tcW w:w="1840" w:type="dxa"/>
                </w:tcPr>
                <w:p w14:paraId="51086D80" w14:textId="68E50118" w:rsidR="0089557B" w:rsidRDefault="0089557B" w:rsidP="0089557B">
                  <w:pPr>
                    <w:rPr>
                      <w:iCs/>
                      <w:lang w:val="en-US"/>
                    </w:rPr>
                  </w:pPr>
                  <w:r>
                    <w:rPr>
                      <w:lang w:val="en-US"/>
                    </w:rPr>
                    <w:t>FSM</w:t>
                  </w:r>
                </w:p>
              </w:tc>
              <w:tc>
                <w:tcPr>
                  <w:tcW w:w="1840" w:type="dxa"/>
                </w:tcPr>
                <w:p w14:paraId="4B5D956D" w14:textId="35A9B7C1" w:rsidR="0089557B" w:rsidRDefault="0089557B" w:rsidP="0089557B">
                  <w:pPr>
                    <w:rPr>
                      <w:iCs/>
                      <w:lang w:val="en-US"/>
                    </w:rPr>
                  </w:pPr>
                  <w:r>
                    <w:rPr>
                      <w:iCs/>
                      <w:lang w:val="en-US"/>
                    </w:rPr>
                    <w:t>54%</w:t>
                  </w:r>
                </w:p>
              </w:tc>
              <w:tc>
                <w:tcPr>
                  <w:tcW w:w="1840" w:type="dxa"/>
                </w:tcPr>
                <w:p w14:paraId="603A4CD7" w14:textId="705EBE77" w:rsidR="0089557B" w:rsidRDefault="0089557B" w:rsidP="0089557B">
                  <w:pPr>
                    <w:rPr>
                      <w:iCs/>
                      <w:lang w:val="en-US"/>
                    </w:rPr>
                  </w:pPr>
                  <w:r>
                    <w:rPr>
                      <w:iCs/>
                      <w:lang w:val="en-US"/>
                    </w:rPr>
                    <w:t>81%</w:t>
                  </w:r>
                </w:p>
              </w:tc>
              <w:tc>
                <w:tcPr>
                  <w:tcW w:w="1840" w:type="dxa"/>
                </w:tcPr>
                <w:p w14:paraId="37A2B091" w14:textId="6C02C222" w:rsidR="0089557B" w:rsidRDefault="0089557B" w:rsidP="0089557B">
                  <w:pPr>
                    <w:rPr>
                      <w:iCs/>
                      <w:lang w:val="en-US"/>
                    </w:rPr>
                  </w:pPr>
                  <w:r>
                    <w:rPr>
                      <w:iCs/>
                      <w:lang w:val="en-US"/>
                    </w:rPr>
                    <w:t>48%</w:t>
                  </w:r>
                </w:p>
              </w:tc>
            </w:tr>
            <w:tr w:rsidR="0089557B" w14:paraId="529AEA49" w14:textId="77777777" w:rsidTr="0089557B">
              <w:tc>
                <w:tcPr>
                  <w:tcW w:w="1840" w:type="dxa"/>
                </w:tcPr>
                <w:p w14:paraId="3429440E" w14:textId="3467E98F" w:rsidR="0089557B" w:rsidRDefault="0089557B" w:rsidP="0089557B">
                  <w:pPr>
                    <w:rPr>
                      <w:iCs/>
                      <w:lang w:val="en-US"/>
                    </w:rPr>
                  </w:pPr>
                  <w:r>
                    <w:rPr>
                      <w:lang w:val="en-US"/>
                    </w:rPr>
                    <w:t>All others</w:t>
                  </w:r>
                </w:p>
              </w:tc>
              <w:tc>
                <w:tcPr>
                  <w:tcW w:w="1840" w:type="dxa"/>
                </w:tcPr>
                <w:p w14:paraId="2E24A86D" w14:textId="4105F2CF" w:rsidR="0089557B" w:rsidRDefault="0089557B" w:rsidP="0089557B">
                  <w:pPr>
                    <w:rPr>
                      <w:iCs/>
                      <w:lang w:val="en-US"/>
                    </w:rPr>
                  </w:pPr>
                  <w:r>
                    <w:rPr>
                      <w:iCs/>
                      <w:lang w:val="en-US"/>
                    </w:rPr>
                    <w:t>82%</w:t>
                  </w:r>
                </w:p>
              </w:tc>
              <w:tc>
                <w:tcPr>
                  <w:tcW w:w="1840" w:type="dxa"/>
                </w:tcPr>
                <w:p w14:paraId="4F5E212F" w14:textId="62F8588F" w:rsidR="0089557B" w:rsidRDefault="0089557B" w:rsidP="0089557B">
                  <w:pPr>
                    <w:rPr>
                      <w:iCs/>
                      <w:lang w:val="en-US"/>
                    </w:rPr>
                  </w:pPr>
                  <w:r>
                    <w:rPr>
                      <w:iCs/>
                      <w:lang w:val="en-US"/>
                    </w:rPr>
                    <w:t>84%</w:t>
                  </w:r>
                </w:p>
              </w:tc>
              <w:tc>
                <w:tcPr>
                  <w:tcW w:w="1840" w:type="dxa"/>
                </w:tcPr>
                <w:p w14:paraId="692BDBC4" w14:textId="4F0E4354" w:rsidR="0089557B" w:rsidRDefault="0089557B" w:rsidP="0089557B">
                  <w:pPr>
                    <w:rPr>
                      <w:iCs/>
                      <w:lang w:val="en-US"/>
                    </w:rPr>
                  </w:pPr>
                  <w:r>
                    <w:rPr>
                      <w:iCs/>
                      <w:lang w:val="en-US"/>
                    </w:rPr>
                    <w:t>68%</w:t>
                  </w:r>
                </w:p>
              </w:tc>
            </w:tr>
          </w:tbl>
          <w:p w14:paraId="19195186" w14:textId="14E56685" w:rsidR="0089557B" w:rsidRDefault="0089557B" w:rsidP="0098212C">
            <w:pPr>
              <w:rPr>
                <w:iCs/>
                <w:lang w:val="en-US"/>
              </w:rPr>
            </w:pPr>
          </w:p>
          <w:tbl>
            <w:tblPr>
              <w:tblStyle w:val="TableGrid"/>
              <w:tblW w:w="0" w:type="auto"/>
              <w:tblLook w:val="04A0" w:firstRow="1" w:lastRow="0" w:firstColumn="1" w:lastColumn="0" w:noHBand="0" w:noVBand="1"/>
            </w:tblPr>
            <w:tblGrid>
              <w:gridCol w:w="1840"/>
              <w:gridCol w:w="1840"/>
              <w:gridCol w:w="1840"/>
              <w:gridCol w:w="1840"/>
            </w:tblGrid>
            <w:tr w:rsidR="003673A5" w14:paraId="17825331" w14:textId="77777777" w:rsidTr="009E530D">
              <w:tc>
                <w:tcPr>
                  <w:tcW w:w="7360" w:type="dxa"/>
                  <w:gridSpan w:val="4"/>
                  <w:shd w:val="clear" w:color="auto" w:fill="00B0F0"/>
                </w:tcPr>
                <w:p w14:paraId="6D314DCB" w14:textId="09CD02FC" w:rsidR="003673A5" w:rsidRDefault="003673A5" w:rsidP="003673A5">
                  <w:pPr>
                    <w:jc w:val="center"/>
                    <w:rPr>
                      <w:iCs/>
                      <w:lang w:val="en-US"/>
                    </w:rPr>
                  </w:pPr>
                  <w:proofErr w:type="spellStart"/>
                  <w:r>
                    <w:rPr>
                      <w:iCs/>
                      <w:lang w:val="en-US"/>
                    </w:rPr>
                    <w:t>Maths</w:t>
                  </w:r>
                  <w:proofErr w:type="spellEnd"/>
                  <w:r>
                    <w:rPr>
                      <w:iCs/>
                      <w:lang w:val="en-US"/>
                    </w:rPr>
                    <w:t xml:space="preserve"> KS2 </w:t>
                  </w:r>
                </w:p>
              </w:tc>
            </w:tr>
            <w:tr w:rsidR="003673A5" w14:paraId="16826FAA" w14:textId="77777777" w:rsidTr="003673A5">
              <w:tc>
                <w:tcPr>
                  <w:tcW w:w="1840" w:type="dxa"/>
                </w:tcPr>
                <w:p w14:paraId="7DBE4EBF" w14:textId="77777777" w:rsidR="003673A5" w:rsidRDefault="003673A5" w:rsidP="003673A5">
                  <w:pPr>
                    <w:rPr>
                      <w:iCs/>
                      <w:lang w:val="en-US"/>
                    </w:rPr>
                  </w:pPr>
                </w:p>
              </w:tc>
              <w:tc>
                <w:tcPr>
                  <w:tcW w:w="1840" w:type="dxa"/>
                </w:tcPr>
                <w:p w14:paraId="08DFEE53" w14:textId="7BBADCDF" w:rsidR="003673A5" w:rsidRDefault="003673A5" w:rsidP="003673A5">
                  <w:pPr>
                    <w:rPr>
                      <w:iCs/>
                      <w:lang w:val="en-US"/>
                    </w:rPr>
                  </w:pPr>
                  <w:r>
                    <w:rPr>
                      <w:lang w:val="en-US"/>
                    </w:rPr>
                    <w:t>2018</w:t>
                  </w:r>
                </w:p>
              </w:tc>
              <w:tc>
                <w:tcPr>
                  <w:tcW w:w="1840" w:type="dxa"/>
                </w:tcPr>
                <w:p w14:paraId="11C6A03A" w14:textId="4AB83E43" w:rsidR="003673A5" w:rsidRDefault="003673A5" w:rsidP="003673A5">
                  <w:pPr>
                    <w:rPr>
                      <w:iCs/>
                      <w:lang w:val="en-US"/>
                    </w:rPr>
                  </w:pPr>
                  <w:r>
                    <w:rPr>
                      <w:lang w:val="en-US"/>
                    </w:rPr>
                    <w:t>2019</w:t>
                  </w:r>
                </w:p>
              </w:tc>
              <w:tc>
                <w:tcPr>
                  <w:tcW w:w="1840" w:type="dxa"/>
                </w:tcPr>
                <w:p w14:paraId="0BFD7BC8" w14:textId="193975DF" w:rsidR="003673A5" w:rsidRDefault="003673A5" w:rsidP="003673A5">
                  <w:pPr>
                    <w:rPr>
                      <w:iCs/>
                      <w:lang w:val="en-US"/>
                    </w:rPr>
                  </w:pPr>
                  <w:r>
                    <w:rPr>
                      <w:lang w:val="en-US"/>
                    </w:rPr>
                    <w:t>2022</w:t>
                  </w:r>
                </w:p>
              </w:tc>
            </w:tr>
            <w:tr w:rsidR="003673A5" w14:paraId="7F8CA795" w14:textId="77777777" w:rsidTr="003673A5">
              <w:tc>
                <w:tcPr>
                  <w:tcW w:w="1840" w:type="dxa"/>
                </w:tcPr>
                <w:p w14:paraId="25029597" w14:textId="4C6BA435" w:rsidR="003673A5" w:rsidRDefault="003673A5" w:rsidP="003673A5">
                  <w:pPr>
                    <w:rPr>
                      <w:iCs/>
                      <w:lang w:val="en-US"/>
                    </w:rPr>
                  </w:pPr>
                  <w:r>
                    <w:rPr>
                      <w:lang w:val="en-US"/>
                    </w:rPr>
                    <w:t>FSM</w:t>
                  </w:r>
                </w:p>
              </w:tc>
              <w:tc>
                <w:tcPr>
                  <w:tcW w:w="1840" w:type="dxa"/>
                </w:tcPr>
                <w:p w14:paraId="6F318A9C" w14:textId="5B581A67" w:rsidR="003673A5" w:rsidRDefault="003673A5" w:rsidP="003673A5">
                  <w:pPr>
                    <w:rPr>
                      <w:iCs/>
                      <w:lang w:val="en-US"/>
                    </w:rPr>
                  </w:pPr>
                  <w:r>
                    <w:rPr>
                      <w:iCs/>
                      <w:lang w:val="en-US"/>
                    </w:rPr>
                    <w:t>67%</w:t>
                  </w:r>
                </w:p>
              </w:tc>
              <w:tc>
                <w:tcPr>
                  <w:tcW w:w="1840" w:type="dxa"/>
                </w:tcPr>
                <w:p w14:paraId="5A9F6AD2" w14:textId="2E302A40" w:rsidR="003673A5" w:rsidRDefault="003673A5" w:rsidP="003673A5">
                  <w:pPr>
                    <w:rPr>
                      <w:iCs/>
                      <w:lang w:val="en-US"/>
                    </w:rPr>
                  </w:pPr>
                  <w:r>
                    <w:rPr>
                      <w:iCs/>
                      <w:lang w:val="en-US"/>
                    </w:rPr>
                    <w:t>79%</w:t>
                  </w:r>
                </w:p>
              </w:tc>
              <w:tc>
                <w:tcPr>
                  <w:tcW w:w="1840" w:type="dxa"/>
                </w:tcPr>
                <w:p w14:paraId="30D1E6B6" w14:textId="6E8E5982" w:rsidR="003673A5" w:rsidRDefault="003673A5" w:rsidP="003673A5">
                  <w:pPr>
                    <w:rPr>
                      <w:iCs/>
                      <w:lang w:val="en-US"/>
                    </w:rPr>
                  </w:pPr>
                  <w:r>
                    <w:rPr>
                      <w:iCs/>
                      <w:lang w:val="en-US"/>
                    </w:rPr>
                    <w:t>40%</w:t>
                  </w:r>
                </w:p>
              </w:tc>
            </w:tr>
            <w:tr w:rsidR="003673A5" w14:paraId="2D3705FB" w14:textId="77777777" w:rsidTr="003673A5">
              <w:tc>
                <w:tcPr>
                  <w:tcW w:w="1840" w:type="dxa"/>
                </w:tcPr>
                <w:p w14:paraId="52060CAB" w14:textId="5911CEFE" w:rsidR="003673A5" w:rsidRDefault="003673A5" w:rsidP="003673A5">
                  <w:pPr>
                    <w:rPr>
                      <w:iCs/>
                      <w:lang w:val="en-US"/>
                    </w:rPr>
                  </w:pPr>
                  <w:r>
                    <w:rPr>
                      <w:lang w:val="en-US"/>
                    </w:rPr>
                    <w:t>All others</w:t>
                  </w:r>
                </w:p>
              </w:tc>
              <w:tc>
                <w:tcPr>
                  <w:tcW w:w="1840" w:type="dxa"/>
                </w:tcPr>
                <w:p w14:paraId="4D20DA9B" w14:textId="14C19C6B" w:rsidR="003673A5" w:rsidRDefault="003673A5" w:rsidP="003673A5">
                  <w:pPr>
                    <w:rPr>
                      <w:iCs/>
                      <w:lang w:val="en-US"/>
                    </w:rPr>
                  </w:pPr>
                  <w:r>
                    <w:rPr>
                      <w:iCs/>
                      <w:lang w:val="en-US"/>
                    </w:rPr>
                    <w:t>87%</w:t>
                  </w:r>
                </w:p>
              </w:tc>
              <w:tc>
                <w:tcPr>
                  <w:tcW w:w="1840" w:type="dxa"/>
                </w:tcPr>
                <w:p w14:paraId="006F4806" w14:textId="33AD2746" w:rsidR="003673A5" w:rsidRDefault="003673A5" w:rsidP="003673A5">
                  <w:pPr>
                    <w:rPr>
                      <w:iCs/>
                      <w:lang w:val="en-US"/>
                    </w:rPr>
                  </w:pPr>
                  <w:r>
                    <w:rPr>
                      <w:iCs/>
                      <w:lang w:val="en-US"/>
                    </w:rPr>
                    <w:t>93%</w:t>
                  </w:r>
                </w:p>
              </w:tc>
              <w:tc>
                <w:tcPr>
                  <w:tcW w:w="1840" w:type="dxa"/>
                </w:tcPr>
                <w:p w14:paraId="482ACE3E" w14:textId="6C0399AF" w:rsidR="003673A5" w:rsidRDefault="003673A5" w:rsidP="003673A5">
                  <w:pPr>
                    <w:rPr>
                      <w:iCs/>
                      <w:lang w:val="en-US"/>
                    </w:rPr>
                  </w:pPr>
                  <w:r>
                    <w:rPr>
                      <w:iCs/>
                      <w:lang w:val="en-US"/>
                    </w:rPr>
                    <w:t>66%</w:t>
                  </w:r>
                </w:p>
              </w:tc>
            </w:tr>
          </w:tbl>
          <w:p w14:paraId="249938F2" w14:textId="1DB88E20" w:rsidR="00876FFA" w:rsidRPr="0098212C" w:rsidRDefault="00876FFA" w:rsidP="0098212C">
            <w:pPr>
              <w:rPr>
                <w:iCs/>
                <w:lang w:val="en-US"/>
              </w:rPr>
            </w:pPr>
          </w:p>
        </w:tc>
      </w:tr>
      <w:tr w:rsidR="0098212C" w:rsidRPr="0098212C" w14:paraId="61F0F2E1" w14:textId="77777777" w:rsidTr="001F5790">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A1398E" w14:textId="77777777" w:rsidR="0098212C" w:rsidRPr="0098212C" w:rsidRDefault="0098212C" w:rsidP="0098212C">
            <w:r>
              <w:lastRenderedPageBreak/>
              <w:t>4</w:t>
            </w:r>
          </w:p>
        </w:tc>
        <w:tc>
          <w:tcPr>
            <w:tcW w:w="78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29DF0A" w14:textId="77777777" w:rsidR="0098212C" w:rsidRDefault="0098212C" w:rsidP="0098212C">
            <w:r w:rsidRPr="0098212C">
              <w:rPr>
                <w:iCs/>
              </w:rPr>
              <w:t xml:space="preserve">Our assessments, observations and discussions with </w:t>
            </w:r>
            <w:r w:rsidR="00C074AE">
              <w:rPr>
                <w:iCs/>
              </w:rPr>
              <w:t>pupils</w:t>
            </w:r>
            <w:r w:rsidRPr="0098212C">
              <w:rPr>
                <w:iCs/>
              </w:rPr>
              <w:t xml:space="preserve"> and families indicate that the education and wellbeing of m</w:t>
            </w:r>
            <w:r w:rsidRPr="0098212C">
              <w:t xml:space="preserve">any of our disadvantaged </w:t>
            </w:r>
            <w:r w:rsidR="00C074AE">
              <w:t>pupils</w:t>
            </w:r>
            <w:r w:rsidR="00E4573A">
              <w:t xml:space="preserve"> </w:t>
            </w:r>
            <w:r w:rsidRPr="0098212C">
              <w:t xml:space="preserve">continues to be affected by the impact of the partial school closures during the COVID-19 pandemic, and to a greater extent than for other pupils. </w:t>
            </w:r>
            <w:r w:rsidR="00E4573A" w:rsidRPr="00E4573A">
              <w:t xml:space="preserve">This is despite the </w:t>
            </w:r>
            <w:proofErr w:type="gramStart"/>
            <w:r w:rsidR="00E4573A" w:rsidRPr="00E4573A">
              <w:t>high quality</w:t>
            </w:r>
            <w:proofErr w:type="gramEnd"/>
            <w:r w:rsidR="00E4573A" w:rsidRPr="00E4573A">
              <w:t xml:space="preserve"> remote curriculum in place, teaching of key worker </w:t>
            </w:r>
            <w:r w:rsidR="00C074AE">
              <w:t>pupils</w:t>
            </w:r>
            <w:r w:rsidR="00E4573A" w:rsidRPr="00E4573A">
              <w:t xml:space="preserve"> and creative ways in which teaching and learning took place during each lockdown.</w:t>
            </w:r>
            <w:r w:rsidR="00E4573A">
              <w:t xml:space="preserve"> </w:t>
            </w:r>
          </w:p>
          <w:p w14:paraId="4DF83674" w14:textId="77777777" w:rsidR="0098212C" w:rsidRDefault="0098212C" w:rsidP="00152E99">
            <w:r w:rsidRPr="0098212C">
              <w:t xml:space="preserve">This has resulted in knowledge gaps leading to pupils falling further behind age-related expectations, especially in </w:t>
            </w:r>
            <w:r w:rsidRPr="00CD10D3">
              <w:t>reading</w:t>
            </w:r>
            <w:r>
              <w:t xml:space="preserve"> </w:t>
            </w:r>
            <w:r w:rsidRPr="0098212C">
              <w:t>and maths.</w:t>
            </w:r>
            <w:r w:rsidR="00152E99">
              <w:t xml:space="preserve"> </w:t>
            </w:r>
            <w:r w:rsidR="00152E99" w:rsidRPr="00152E99">
              <w:t>These findings are supported by national studies.</w:t>
            </w:r>
          </w:p>
          <w:tbl>
            <w:tblPr>
              <w:tblStyle w:val="TableGrid"/>
              <w:tblW w:w="0" w:type="auto"/>
              <w:tblLook w:val="04A0" w:firstRow="1" w:lastRow="0" w:firstColumn="1" w:lastColumn="0" w:noHBand="0" w:noVBand="1"/>
            </w:tblPr>
            <w:tblGrid>
              <w:gridCol w:w="1915"/>
              <w:gridCol w:w="1915"/>
              <w:gridCol w:w="1915"/>
              <w:gridCol w:w="1916"/>
            </w:tblGrid>
            <w:tr w:rsidR="003B05DF" w14:paraId="033D9A70" w14:textId="77777777" w:rsidTr="009E530D">
              <w:tc>
                <w:tcPr>
                  <w:tcW w:w="7661" w:type="dxa"/>
                  <w:gridSpan w:val="4"/>
                  <w:shd w:val="clear" w:color="auto" w:fill="00B0F0"/>
                </w:tcPr>
                <w:p w14:paraId="70EE5B9D" w14:textId="6A324E86" w:rsidR="003B05DF" w:rsidRDefault="003B05DF" w:rsidP="003B05DF">
                  <w:pPr>
                    <w:jc w:val="center"/>
                  </w:pPr>
                  <w:r>
                    <w:t xml:space="preserve"> KS2 RWM Combined  </w:t>
                  </w:r>
                </w:p>
              </w:tc>
            </w:tr>
            <w:tr w:rsidR="00C12A0D" w14:paraId="3BE1B7EF" w14:textId="77777777" w:rsidTr="00336327">
              <w:tc>
                <w:tcPr>
                  <w:tcW w:w="1915" w:type="dxa"/>
                </w:tcPr>
                <w:p w14:paraId="6D5A6CAA" w14:textId="77777777" w:rsidR="00C12A0D" w:rsidRDefault="00C12A0D" w:rsidP="00C12A0D"/>
              </w:tc>
              <w:tc>
                <w:tcPr>
                  <w:tcW w:w="1915" w:type="dxa"/>
                </w:tcPr>
                <w:p w14:paraId="41079585" w14:textId="01BE13F2" w:rsidR="00C12A0D" w:rsidRDefault="00C12A0D" w:rsidP="00C12A0D">
                  <w:r>
                    <w:rPr>
                      <w:lang w:val="en-US"/>
                    </w:rPr>
                    <w:t>2018</w:t>
                  </w:r>
                </w:p>
              </w:tc>
              <w:tc>
                <w:tcPr>
                  <w:tcW w:w="1915" w:type="dxa"/>
                </w:tcPr>
                <w:p w14:paraId="5AFFDF1D" w14:textId="740FD146" w:rsidR="00C12A0D" w:rsidRDefault="00C12A0D" w:rsidP="00C12A0D">
                  <w:r>
                    <w:rPr>
                      <w:lang w:val="en-US"/>
                    </w:rPr>
                    <w:t>2019</w:t>
                  </w:r>
                </w:p>
              </w:tc>
              <w:tc>
                <w:tcPr>
                  <w:tcW w:w="1916" w:type="dxa"/>
                </w:tcPr>
                <w:p w14:paraId="251F4689" w14:textId="1DDC6AA3" w:rsidR="00C12A0D" w:rsidRDefault="00C12A0D" w:rsidP="00C12A0D">
                  <w:r>
                    <w:rPr>
                      <w:lang w:val="en-US"/>
                    </w:rPr>
                    <w:t>2022</w:t>
                  </w:r>
                </w:p>
              </w:tc>
            </w:tr>
            <w:tr w:rsidR="00C12A0D" w14:paraId="7BAD21FD" w14:textId="77777777" w:rsidTr="00336327">
              <w:tc>
                <w:tcPr>
                  <w:tcW w:w="1915" w:type="dxa"/>
                </w:tcPr>
                <w:p w14:paraId="5D5A0E36" w14:textId="2BF3B187" w:rsidR="00C12A0D" w:rsidRDefault="00C12A0D" w:rsidP="00C12A0D">
                  <w:r>
                    <w:rPr>
                      <w:lang w:val="en-US"/>
                    </w:rPr>
                    <w:t>FSM</w:t>
                  </w:r>
                </w:p>
              </w:tc>
              <w:tc>
                <w:tcPr>
                  <w:tcW w:w="1915" w:type="dxa"/>
                </w:tcPr>
                <w:p w14:paraId="62E004E8" w14:textId="77288920" w:rsidR="00C12A0D" w:rsidRDefault="00C12A0D" w:rsidP="00C12A0D">
                  <w:r>
                    <w:rPr>
                      <w:lang w:val="en-US"/>
                    </w:rPr>
                    <w:t>54%</w:t>
                  </w:r>
                </w:p>
              </w:tc>
              <w:tc>
                <w:tcPr>
                  <w:tcW w:w="1915" w:type="dxa"/>
                </w:tcPr>
                <w:p w14:paraId="47292993" w14:textId="71091F98" w:rsidR="00C12A0D" w:rsidRDefault="00C12A0D" w:rsidP="00C12A0D">
                  <w:r>
                    <w:rPr>
                      <w:lang w:val="en-US"/>
                    </w:rPr>
                    <w:t>75%</w:t>
                  </w:r>
                </w:p>
              </w:tc>
              <w:tc>
                <w:tcPr>
                  <w:tcW w:w="1916" w:type="dxa"/>
                </w:tcPr>
                <w:p w14:paraId="112CB875" w14:textId="4712DD5F" w:rsidR="00C12A0D" w:rsidRDefault="00C12A0D" w:rsidP="00C12A0D">
                  <w:r>
                    <w:rPr>
                      <w:lang w:val="en-US"/>
                    </w:rPr>
                    <w:t>5%</w:t>
                  </w:r>
                </w:p>
              </w:tc>
            </w:tr>
            <w:tr w:rsidR="00C12A0D" w14:paraId="2CDCF816" w14:textId="77777777" w:rsidTr="00336327">
              <w:tc>
                <w:tcPr>
                  <w:tcW w:w="1915" w:type="dxa"/>
                </w:tcPr>
                <w:p w14:paraId="3BFDDDAC" w14:textId="6FB7EB43" w:rsidR="00C12A0D" w:rsidRDefault="00C12A0D" w:rsidP="00C12A0D">
                  <w:r>
                    <w:rPr>
                      <w:lang w:val="en-US"/>
                    </w:rPr>
                    <w:t>All others</w:t>
                  </w:r>
                </w:p>
              </w:tc>
              <w:tc>
                <w:tcPr>
                  <w:tcW w:w="1915" w:type="dxa"/>
                </w:tcPr>
                <w:p w14:paraId="152DE594" w14:textId="45738125" w:rsidR="00C12A0D" w:rsidRDefault="00C12A0D" w:rsidP="00C12A0D">
                  <w:r>
                    <w:rPr>
                      <w:lang w:val="en-US"/>
                    </w:rPr>
                    <w:t>81%</w:t>
                  </w:r>
                </w:p>
              </w:tc>
              <w:tc>
                <w:tcPr>
                  <w:tcW w:w="1915" w:type="dxa"/>
                </w:tcPr>
                <w:p w14:paraId="1CCD2D4B" w14:textId="6145BEEA" w:rsidR="00C12A0D" w:rsidRDefault="00C12A0D" w:rsidP="00C12A0D">
                  <w:r>
                    <w:rPr>
                      <w:lang w:val="en-US"/>
                    </w:rPr>
                    <w:t>86%</w:t>
                  </w:r>
                </w:p>
              </w:tc>
              <w:tc>
                <w:tcPr>
                  <w:tcW w:w="1916" w:type="dxa"/>
                </w:tcPr>
                <w:p w14:paraId="064F5783" w14:textId="05E43AF1" w:rsidR="00C12A0D" w:rsidRDefault="00C12A0D" w:rsidP="00C12A0D">
                  <w:r>
                    <w:rPr>
                      <w:lang w:val="en-US"/>
                    </w:rPr>
                    <w:t>44%</w:t>
                  </w:r>
                </w:p>
              </w:tc>
            </w:tr>
          </w:tbl>
          <w:p w14:paraId="2B5E7666" w14:textId="6C9C9475" w:rsidR="001F5790" w:rsidRPr="0098212C" w:rsidRDefault="001F5790" w:rsidP="00152E99"/>
        </w:tc>
      </w:tr>
      <w:tr w:rsidR="0098212C" w:rsidRPr="0098212C" w14:paraId="3D1A9A65" w14:textId="77777777" w:rsidTr="001F5790">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A29B0B" w14:textId="77777777" w:rsidR="0098212C" w:rsidRPr="0098212C" w:rsidRDefault="0098212C" w:rsidP="0098212C">
            <w:r w:rsidRPr="0098212C">
              <w:t>5</w:t>
            </w:r>
          </w:p>
        </w:tc>
        <w:tc>
          <w:tcPr>
            <w:tcW w:w="78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22F81F" w14:textId="77777777" w:rsidR="0098212C" w:rsidRPr="0098212C" w:rsidRDefault="00E4573A" w:rsidP="0098212C">
            <w:pPr>
              <w:rPr>
                <w:iCs/>
                <w:lang w:val="en-US"/>
              </w:rPr>
            </w:pPr>
            <w:r>
              <w:rPr>
                <w:iCs/>
                <w:lang w:val="en-US"/>
              </w:rPr>
              <w:t xml:space="preserve">Our assessments, </w:t>
            </w:r>
            <w:r w:rsidR="0098212C" w:rsidRPr="0098212C">
              <w:rPr>
                <w:iCs/>
                <w:lang w:val="en-US"/>
              </w:rPr>
              <w:t xml:space="preserve">observations and discussions with </w:t>
            </w:r>
            <w:r w:rsidR="00C074AE">
              <w:rPr>
                <w:iCs/>
                <w:lang w:val="en-US"/>
              </w:rPr>
              <w:t>pupils</w:t>
            </w:r>
            <w:r w:rsidR="0098212C" w:rsidRPr="0098212C">
              <w:rPr>
                <w:iCs/>
                <w:lang w:val="en-US"/>
              </w:rPr>
              <w:t xml:space="preserve"> and families have identified </w:t>
            </w:r>
            <w:r>
              <w:rPr>
                <w:iCs/>
                <w:lang w:val="en-US"/>
              </w:rPr>
              <w:t xml:space="preserve">an increased number of </w:t>
            </w:r>
            <w:r w:rsidR="0098212C" w:rsidRPr="0098212C">
              <w:rPr>
                <w:iCs/>
                <w:lang w:val="en-US"/>
              </w:rPr>
              <w:t xml:space="preserve">social and </w:t>
            </w:r>
            <w:r>
              <w:rPr>
                <w:iCs/>
                <w:lang w:val="en-US"/>
              </w:rPr>
              <w:t>emotional issues</w:t>
            </w:r>
            <w:r w:rsidR="0098212C" w:rsidRPr="0098212C">
              <w:rPr>
                <w:iCs/>
                <w:lang w:val="en-US"/>
              </w:rPr>
              <w:t xml:space="preserve">. These challenges </w:t>
            </w:r>
            <w:r w:rsidR="00C074AE">
              <w:rPr>
                <w:iCs/>
                <w:lang w:val="en-US"/>
              </w:rPr>
              <w:t xml:space="preserve">are </w:t>
            </w:r>
            <w:r w:rsidR="0098212C" w:rsidRPr="0098212C">
              <w:rPr>
                <w:iCs/>
                <w:lang w:val="en-US"/>
              </w:rPr>
              <w:t>particularly affect</w:t>
            </w:r>
            <w:r w:rsidR="00C074AE">
              <w:rPr>
                <w:iCs/>
                <w:lang w:val="en-US"/>
              </w:rPr>
              <w:t>ing our</w:t>
            </w:r>
            <w:r w:rsidR="0098212C" w:rsidRPr="0098212C">
              <w:rPr>
                <w:iCs/>
                <w:lang w:val="en-US"/>
              </w:rPr>
              <w:t xml:space="preserve"> disadvantaged pupils, including their attainment.</w:t>
            </w:r>
          </w:p>
          <w:p w14:paraId="098A824B" w14:textId="77777777" w:rsidR="0098212C" w:rsidRDefault="00E4573A" w:rsidP="00F46366">
            <w:r w:rsidRPr="00F46366">
              <w:t>R</w:t>
            </w:r>
            <w:r w:rsidR="0098212C" w:rsidRPr="00F46366">
              <w:t>eferrals for su</w:t>
            </w:r>
            <w:r w:rsidR="00F46366" w:rsidRPr="00F46366">
              <w:t>pport remain relatively high with an increase in the number of pupils requiring</w:t>
            </w:r>
            <w:r w:rsidR="0098212C" w:rsidRPr="00F46366">
              <w:t xml:space="preserve"> additional support with so</w:t>
            </w:r>
            <w:r w:rsidR="00F46366" w:rsidRPr="00F46366">
              <w:t xml:space="preserve">cial and emotional needs and </w:t>
            </w:r>
            <w:r w:rsidR="0098212C" w:rsidRPr="00F46366">
              <w:t>receiving small group interventions.</w:t>
            </w:r>
          </w:p>
          <w:p w14:paraId="1895924F" w14:textId="27C9F360" w:rsidR="005D292C" w:rsidRPr="0098212C" w:rsidRDefault="005D292C" w:rsidP="00F46366"/>
        </w:tc>
      </w:tr>
      <w:tr w:rsidR="0098212C" w:rsidRPr="0098212C" w14:paraId="326D48B7" w14:textId="77777777" w:rsidTr="001F5790">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A1E949" w14:textId="77777777" w:rsidR="0098212C" w:rsidRPr="0098212C" w:rsidRDefault="0098212C" w:rsidP="0098212C">
            <w:bookmarkStart w:id="11" w:name="_Toc443397160"/>
            <w:r w:rsidRPr="0098212C">
              <w:t>6</w:t>
            </w:r>
          </w:p>
        </w:tc>
        <w:tc>
          <w:tcPr>
            <w:tcW w:w="78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7F7222" w14:textId="77777777" w:rsidR="00E4573A" w:rsidRPr="00E4573A" w:rsidRDefault="00E4573A" w:rsidP="00E4573A">
            <w:pPr>
              <w:rPr>
                <w:iCs/>
                <w:lang w:val="en-US"/>
              </w:rPr>
            </w:pPr>
            <w:r w:rsidRPr="00E4573A">
              <w:rPr>
                <w:iCs/>
                <w:lang w:val="en-US"/>
              </w:rPr>
              <w:t xml:space="preserve">Attendance – Our analysis and interrogation of attendance data evidences a higher % of absence for disadvantaged </w:t>
            </w:r>
            <w:r w:rsidR="00C074AE">
              <w:rPr>
                <w:iCs/>
                <w:lang w:val="en-US"/>
              </w:rPr>
              <w:t>pupils</w:t>
            </w:r>
            <w:r w:rsidRPr="00E4573A">
              <w:rPr>
                <w:iCs/>
                <w:lang w:val="en-US"/>
              </w:rPr>
              <w:t xml:space="preserve"> than non-disadvan</w:t>
            </w:r>
            <w:r>
              <w:rPr>
                <w:iCs/>
                <w:lang w:val="en-US"/>
              </w:rPr>
              <w:t>taged.</w:t>
            </w:r>
          </w:p>
          <w:p w14:paraId="1A4A4950" w14:textId="5B357952" w:rsidR="00E4573A" w:rsidRDefault="00E4573A" w:rsidP="0098212C">
            <w:pPr>
              <w:rPr>
                <w:iCs/>
                <w:lang w:val="en-US"/>
              </w:rPr>
            </w:pPr>
            <w:r w:rsidRPr="00E4573A">
              <w:rPr>
                <w:iCs/>
                <w:lang w:val="en-US"/>
              </w:rPr>
              <w:t>P</w:t>
            </w:r>
            <w:r w:rsidR="00152E99">
              <w:rPr>
                <w:iCs/>
                <w:lang w:val="en-US"/>
              </w:rPr>
              <w:t xml:space="preserve">ersistent </w:t>
            </w:r>
            <w:r w:rsidRPr="00E4573A">
              <w:rPr>
                <w:iCs/>
                <w:lang w:val="en-US"/>
              </w:rPr>
              <w:t>A</w:t>
            </w:r>
            <w:r w:rsidR="00152E99">
              <w:rPr>
                <w:iCs/>
                <w:lang w:val="en-US"/>
              </w:rPr>
              <w:t>bsence</w:t>
            </w:r>
            <w:r w:rsidRPr="00E4573A">
              <w:rPr>
                <w:iCs/>
                <w:lang w:val="en-US"/>
              </w:rPr>
              <w:t xml:space="preserve"> - Our analysis and interrogation of attendance data evidences a higher % of persistent absence for disadvantaged </w:t>
            </w:r>
            <w:r w:rsidR="00C074AE">
              <w:rPr>
                <w:iCs/>
                <w:lang w:val="en-US"/>
              </w:rPr>
              <w:t>pupils</w:t>
            </w:r>
            <w:r w:rsidRPr="00E4573A">
              <w:rPr>
                <w:iCs/>
                <w:lang w:val="en-US"/>
              </w:rPr>
              <w:t xml:space="preserve"> than non - disadvantaged.</w:t>
            </w:r>
          </w:p>
          <w:p w14:paraId="2D7C14F5" w14:textId="77777777" w:rsidR="00C86A79" w:rsidRDefault="00C86A79" w:rsidP="0098212C">
            <w:pPr>
              <w:rPr>
                <w:iCs/>
                <w:lang w:val="en-US"/>
              </w:rPr>
            </w:pPr>
            <w:bookmarkStart w:id="12" w:name="_GoBack"/>
            <w:bookmarkEnd w:id="12"/>
          </w:p>
          <w:p w14:paraId="2EEB3610" w14:textId="495C19F8" w:rsidR="0098212C" w:rsidRDefault="0098212C" w:rsidP="0098212C">
            <w:pPr>
              <w:rPr>
                <w:iCs/>
                <w:lang w:val="en-US"/>
              </w:rPr>
            </w:pPr>
            <w:r w:rsidRPr="0098212C">
              <w:rPr>
                <w:iCs/>
                <w:lang w:val="en-US"/>
              </w:rPr>
              <w:lastRenderedPageBreak/>
              <w:t>Our assessments and observations indicate that absenteeism is negatively impacting disadvantaged pupils’ progress.</w:t>
            </w:r>
          </w:p>
          <w:p w14:paraId="6D5D1961" w14:textId="77777777" w:rsidR="009E530D" w:rsidRDefault="009E530D" w:rsidP="0098212C">
            <w:pPr>
              <w:rPr>
                <w:iCs/>
                <w:lang w:val="en-US"/>
              </w:rPr>
            </w:pPr>
          </w:p>
          <w:tbl>
            <w:tblPr>
              <w:tblStyle w:val="TableGrid"/>
              <w:tblW w:w="0" w:type="auto"/>
              <w:tblLook w:val="04A0" w:firstRow="1" w:lastRow="0" w:firstColumn="1" w:lastColumn="0" w:noHBand="0" w:noVBand="1"/>
            </w:tblPr>
            <w:tblGrid>
              <w:gridCol w:w="875"/>
              <w:gridCol w:w="1603"/>
              <w:gridCol w:w="1222"/>
              <w:gridCol w:w="1222"/>
              <w:gridCol w:w="1222"/>
              <w:gridCol w:w="1223"/>
            </w:tblGrid>
            <w:tr w:rsidR="002D637A" w14:paraId="09A5A609" w14:textId="77777777" w:rsidTr="009E530D">
              <w:tc>
                <w:tcPr>
                  <w:tcW w:w="875" w:type="dxa"/>
                  <w:shd w:val="clear" w:color="auto" w:fill="00B0F0"/>
                </w:tcPr>
                <w:p w14:paraId="4E10CF1F" w14:textId="780F12FE" w:rsidR="002D637A" w:rsidRDefault="00507C56" w:rsidP="0098212C">
                  <w:pPr>
                    <w:rPr>
                      <w:iCs/>
                      <w:lang w:val="en-US"/>
                    </w:rPr>
                  </w:pPr>
                  <w:r>
                    <w:rPr>
                      <w:iCs/>
                      <w:lang w:val="en-US"/>
                    </w:rPr>
                    <w:t>Year 5</w:t>
                  </w:r>
                </w:p>
              </w:tc>
              <w:tc>
                <w:tcPr>
                  <w:tcW w:w="1603" w:type="dxa"/>
                  <w:shd w:val="clear" w:color="auto" w:fill="00B0F0"/>
                </w:tcPr>
                <w:p w14:paraId="75E6C67A" w14:textId="62123DA5" w:rsidR="002D637A" w:rsidRDefault="00507C56" w:rsidP="0098212C">
                  <w:pPr>
                    <w:rPr>
                      <w:iCs/>
                      <w:lang w:val="en-US"/>
                    </w:rPr>
                  </w:pPr>
                  <w:r>
                    <w:rPr>
                      <w:iCs/>
                      <w:lang w:val="en-US"/>
                    </w:rPr>
                    <w:t>Attendance</w:t>
                  </w:r>
                </w:p>
              </w:tc>
              <w:tc>
                <w:tcPr>
                  <w:tcW w:w="1222" w:type="dxa"/>
                  <w:shd w:val="clear" w:color="auto" w:fill="00B0F0"/>
                </w:tcPr>
                <w:p w14:paraId="31593DF1" w14:textId="2602E5F6" w:rsidR="002D637A" w:rsidRDefault="00507C56" w:rsidP="0098212C">
                  <w:pPr>
                    <w:rPr>
                      <w:iCs/>
                      <w:lang w:val="en-US"/>
                    </w:rPr>
                  </w:pPr>
                  <w:r>
                    <w:rPr>
                      <w:iCs/>
                      <w:lang w:val="en-US"/>
                    </w:rPr>
                    <w:t>R</w:t>
                  </w:r>
                </w:p>
              </w:tc>
              <w:tc>
                <w:tcPr>
                  <w:tcW w:w="1222" w:type="dxa"/>
                  <w:shd w:val="clear" w:color="auto" w:fill="00B0F0"/>
                </w:tcPr>
                <w:p w14:paraId="47AA17B3" w14:textId="583CE3EF" w:rsidR="002D637A" w:rsidRDefault="00507C56" w:rsidP="0098212C">
                  <w:pPr>
                    <w:rPr>
                      <w:iCs/>
                      <w:lang w:val="en-US"/>
                    </w:rPr>
                  </w:pPr>
                  <w:r>
                    <w:rPr>
                      <w:iCs/>
                      <w:lang w:val="en-US"/>
                    </w:rPr>
                    <w:t>W</w:t>
                  </w:r>
                </w:p>
              </w:tc>
              <w:tc>
                <w:tcPr>
                  <w:tcW w:w="1222" w:type="dxa"/>
                  <w:shd w:val="clear" w:color="auto" w:fill="00B0F0"/>
                </w:tcPr>
                <w:p w14:paraId="635BFD00" w14:textId="3301324C" w:rsidR="002D637A" w:rsidRDefault="00507C56" w:rsidP="0098212C">
                  <w:pPr>
                    <w:rPr>
                      <w:iCs/>
                      <w:lang w:val="en-US"/>
                    </w:rPr>
                  </w:pPr>
                  <w:r>
                    <w:rPr>
                      <w:iCs/>
                      <w:lang w:val="en-US"/>
                    </w:rPr>
                    <w:t>M</w:t>
                  </w:r>
                </w:p>
              </w:tc>
              <w:tc>
                <w:tcPr>
                  <w:tcW w:w="1223" w:type="dxa"/>
                  <w:shd w:val="clear" w:color="auto" w:fill="00B0F0"/>
                </w:tcPr>
                <w:p w14:paraId="5B05D412" w14:textId="3EB44D36" w:rsidR="002D637A" w:rsidRDefault="00507C56" w:rsidP="0098212C">
                  <w:pPr>
                    <w:rPr>
                      <w:iCs/>
                      <w:lang w:val="en-US"/>
                    </w:rPr>
                  </w:pPr>
                  <w:r>
                    <w:rPr>
                      <w:iCs/>
                      <w:lang w:val="en-US"/>
                    </w:rPr>
                    <w:t>RWM</w:t>
                  </w:r>
                </w:p>
              </w:tc>
            </w:tr>
            <w:tr w:rsidR="00507C56" w14:paraId="32480B03" w14:textId="77777777" w:rsidTr="00507C56">
              <w:tc>
                <w:tcPr>
                  <w:tcW w:w="875" w:type="dxa"/>
                  <w:tcBorders>
                    <w:top w:val="single" w:sz="8" w:space="0" w:color="auto"/>
                    <w:left w:val="single" w:sz="8" w:space="0" w:color="auto"/>
                    <w:bottom w:val="single" w:sz="4" w:space="0" w:color="auto"/>
                    <w:right w:val="nil"/>
                  </w:tcBorders>
                  <w:shd w:val="clear" w:color="auto" w:fill="auto"/>
                  <w:vAlign w:val="bottom"/>
                </w:tcPr>
                <w:p w14:paraId="32DF6589" w14:textId="1EEE3DF9" w:rsidR="00507C56" w:rsidRPr="00507C56" w:rsidRDefault="00507C56" w:rsidP="00507C56">
                  <w:pPr>
                    <w:rPr>
                      <w:iCs/>
                      <w:sz w:val="24"/>
                      <w:szCs w:val="24"/>
                      <w:lang w:val="en-US"/>
                    </w:rPr>
                  </w:pPr>
                </w:p>
              </w:tc>
              <w:tc>
                <w:tcPr>
                  <w:tcW w:w="1603" w:type="dxa"/>
                  <w:vAlign w:val="bottom"/>
                </w:tcPr>
                <w:p w14:paraId="3F471070" w14:textId="1C2946E6" w:rsidR="00507C56" w:rsidRPr="00507C56" w:rsidRDefault="00507C56" w:rsidP="00507C56">
                  <w:pPr>
                    <w:rPr>
                      <w:iCs/>
                      <w:sz w:val="24"/>
                      <w:szCs w:val="24"/>
                      <w:lang w:val="en-US"/>
                    </w:rPr>
                  </w:pPr>
                  <w:r w:rsidRPr="00507C56">
                    <w:rPr>
                      <w:rFonts w:ascii="Calibri" w:hAnsi="Calibri" w:cs="Calibri"/>
                      <w:color w:val="000000"/>
                      <w:sz w:val="24"/>
                      <w:szCs w:val="24"/>
                    </w:rPr>
                    <w:t>100%</w:t>
                  </w:r>
                </w:p>
              </w:tc>
              <w:tc>
                <w:tcPr>
                  <w:tcW w:w="1222" w:type="dxa"/>
                  <w:tcBorders>
                    <w:top w:val="single" w:sz="8" w:space="0" w:color="auto"/>
                    <w:left w:val="single" w:sz="8" w:space="0" w:color="auto"/>
                    <w:bottom w:val="single" w:sz="4" w:space="0" w:color="auto"/>
                    <w:right w:val="single" w:sz="4" w:space="0" w:color="auto"/>
                  </w:tcBorders>
                  <w:shd w:val="clear" w:color="auto" w:fill="auto"/>
                  <w:vAlign w:val="bottom"/>
                </w:tcPr>
                <w:p w14:paraId="244E6019" w14:textId="6DE05574" w:rsidR="00507C56" w:rsidRPr="00507C56" w:rsidRDefault="00507C56" w:rsidP="00507C56">
                  <w:pPr>
                    <w:rPr>
                      <w:iCs/>
                      <w:sz w:val="24"/>
                      <w:szCs w:val="24"/>
                      <w:lang w:val="en-US"/>
                    </w:rPr>
                  </w:pPr>
                  <w:r w:rsidRPr="00507C56">
                    <w:rPr>
                      <w:rFonts w:ascii="Calibri" w:hAnsi="Calibri" w:cs="Calibri"/>
                      <w:sz w:val="24"/>
                      <w:szCs w:val="24"/>
                    </w:rPr>
                    <w:t>48%</w:t>
                  </w:r>
                </w:p>
              </w:tc>
              <w:tc>
                <w:tcPr>
                  <w:tcW w:w="1222" w:type="dxa"/>
                  <w:tcBorders>
                    <w:top w:val="single" w:sz="8" w:space="0" w:color="auto"/>
                    <w:left w:val="nil"/>
                    <w:bottom w:val="single" w:sz="4" w:space="0" w:color="auto"/>
                    <w:right w:val="single" w:sz="4" w:space="0" w:color="auto"/>
                  </w:tcBorders>
                  <w:shd w:val="clear" w:color="auto" w:fill="auto"/>
                  <w:vAlign w:val="bottom"/>
                </w:tcPr>
                <w:p w14:paraId="6DC95687" w14:textId="523B285E" w:rsidR="00507C56" w:rsidRPr="00507C56" w:rsidRDefault="00507C56" w:rsidP="00507C56">
                  <w:pPr>
                    <w:rPr>
                      <w:iCs/>
                      <w:sz w:val="24"/>
                      <w:szCs w:val="24"/>
                      <w:lang w:val="en-US"/>
                    </w:rPr>
                  </w:pPr>
                  <w:r w:rsidRPr="00507C56">
                    <w:rPr>
                      <w:rFonts w:ascii="Calibri" w:hAnsi="Calibri" w:cs="Calibri"/>
                      <w:sz w:val="24"/>
                      <w:szCs w:val="24"/>
                    </w:rPr>
                    <w:t>65%</w:t>
                  </w:r>
                </w:p>
              </w:tc>
              <w:tc>
                <w:tcPr>
                  <w:tcW w:w="1222" w:type="dxa"/>
                  <w:tcBorders>
                    <w:top w:val="single" w:sz="8" w:space="0" w:color="auto"/>
                    <w:left w:val="nil"/>
                    <w:bottom w:val="single" w:sz="4" w:space="0" w:color="auto"/>
                    <w:right w:val="single" w:sz="8" w:space="0" w:color="auto"/>
                  </w:tcBorders>
                  <w:shd w:val="clear" w:color="auto" w:fill="auto"/>
                  <w:vAlign w:val="bottom"/>
                </w:tcPr>
                <w:p w14:paraId="600962C4" w14:textId="42888746" w:rsidR="00507C56" w:rsidRPr="00507C56" w:rsidRDefault="00507C56" w:rsidP="00507C56">
                  <w:pPr>
                    <w:rPr>
                      <w:iCs/>
                      <w:sz w:val="24"/>
                      <w:szCs w:val="24"/>
                      <w:lang w:val="en-US"/>
                    </w:rPr>
                  </w:pPr>
                  <w:r w:rsidRPr="00507C56">
                    <w:rPr>
                      <w:rFonts w:ascii="Calibri" w:hAnsi="Calibri" w:cs="Calibri"/>
                      <w:sz w:val="24"/>
                      <w:szCs w:val="24"/>
                    </w:rPr>
                    <w:t>39%</w:t>
                  </w:r>
                </w:p>
              </w:tc>
              <w:tc>
                <w:tcPr>
                  <w:tcW w:w="1223" w:type="dxa"/>
                  <w:tcBorders>
                    <w:top w:val="single" w:sz="8" w:space="0" w:color="auto"/>
                    <w:left w:val="single" w:sz="4" w:space="0" w:color="auto"/>
                    <w:bottom w:val="single" w:sz="4" w:space="0" w:color="auto"/>
                    <w:right w:val="single" w:sz="8" w:space="0" w:color="auto"/>
                  </w:tcBorders>
                  <w:shd w:val="clear" w:color="000000" w:fill="DDEBF7"/>
                  <w:vAlign w:val="bottom"/>
                </w:tcPr>
                <w:p w14:paraId="631EDE6E" w14:textId="2C0CDDC2" w:rsidR="00507C56" w:rsidRPr="00507C56" w:rsidRDefault="00507C56" w:rsidP="00507C56">
                  <w:pPr>
                    <w:rPr>
                      <w:iCs/>
                      <w:sz w:val="24"/>
                      <w:szCs w:val="24"/>
                      <w:lang w:val="en-US"/>
                    </w:rPr>
                  </w:pPr>
                  <w:r w:rsidRPr="00507C56">
                    <w:rPr>
                      <w:rFonts w:ascii="Calibri" w:hAnsi="Calibri" w:cs="Calibri"/>
                      <w:color w:val="0070C0"/>
                      <w:sz w:val="24"/>
                      <w:szCs w:val="24"/>
                    </w:rPr>
                    <w:t>61%</w:t>
                  </w:r>
                </w:p>
              </w:tc>
            </w:tr>
            <w:tr w:rsidR="00507C56" w14:paraId="717D177B" w14:textId="77777777" w:rsidTr="00507C56">
              <w:tc>
                <w:tcPr>
                  <w:tcW w:w="875" w:type="dxa"/>
                  <w:tcBorders>
                    <w:top w:val="nil"/>
                    <w:left w:val="single" w:sz="8" w:space="0" w:color="auto"/>
                    <w:bottom w:val="single" w:sz="4" w:space="0" w:color="auto"/>
                    <w:right w:val="nil"/>
                  </w:tcBorders>
                  <w:shd w:val="clear" w:color="auto" w:fill="auto"/>
                  <w:vAlign w:val="bottom"/>
                </w:tcPr>
                <w:p w14:paraId="10DB3EE5" w14:textId="34CC49C8" w:rsidR="00507C56" w:rsidRPr="00507C56" w:rsidRDefault="00507C56" w:rsidP="00507C56">
                  <w:pPr>
                    <w:rPr>
                      <w:iCs/>
                      <w:sz w:val="24"/>
                      <w:szCs w:val="24"/>
                      <w:lang w:val="en-US"/>
                    </w:rPr>
                  </w:pPr>
                </w:p>
              </w:tc>
              <w:tc>
                <w:tcPr>
                  <w:tcW w:w="1603" w:type="dxa"/>
                  <w:vAlign w:val="bottom"/>
                </w:tcPr>
                <w:p w14:paraId="460891A3" w14:textId="7691B068" w:rsidR="00507C56" w:rsidRPr="00507C56" w:rsidRDefault="00507C56" w:rsidP="00507C56">
                  <w:pPr>
                    <w:rPr>
                      <w:iCs/>
                      <w:sz w:val="24"/>
                      <w:szCs w:val="24"/>
                      <w:lang w:val="en-US"/>
                    </w:rPr>
                  </w:pPr>
                  <w:r w:rsidRPr="00507C56">
                    <w:rPr>
                      <w:rFonts w:ascii="Calibri" w:hAnsi="Calibri" w:cs="Calibri"/>
                      <w:color w:val="000000"/>
                      <w:sz w:val="24"/>
                      <w:szCs w:val="24"/>
                    </w:rPr>
                    <w:t>95-99%</w:t>
                  </w:r>
                </w:p>
              </w:tc>
              <w:tc>
                <w:tcPr>
                  <w:tcW w:w="1222" w:type="dxa"/>
                  <w:tcBorders>
                    <w:top w:val="single" w:sz="4" w:space="0" w:color="auto"/>
                    <w:left w:val="single" w:sz="8" w:space="0" w:color="auto"/>
                    <w:bottom w:val="single" w:sz="4" w:space="0" w:color="auto"/>
                    <w:right w:val="single" w:sz="4" w:space="0" w:color="auto"/>
                  </w:tcBorders>
                  <w:shd w:val="clear" w:color="auto" w:fill="auto"/>
                  <w:vAlign w:val="bottom"/>
                </w:tcPr>
                <w:p w14:paraId="51C7E7C4" w14:textId="0ABA5C34" w:rsidR="00507C56" w:rsidRPr="00507C56" w:rsidRDefault="00507C56" w:rsidP="00507C56">
                  <w:pPr>
                    <w:rPr>
                      <w:iCs/>
                      <w:sz w:val="24"/>
                      <w:szCs w:val="24"/>
                      <w:lang w:val="en-US"/>
                    </w:rPr>
                  </w:pPr>
                  <w:r w:rsidRPr="00507C56">
                    <w:rPr>
                      <w:rFonts w:ascii="Calibri" w:hAnsi="Calibri" w:cs="Calibri"/>
                      <w:sz w:val="24"/>
                      <w:szCs w:val="24"/>
                    </w:rPr>
                    <w:t>59%</w:t>
                  </w:r>
                </w:p>
              </w:tc>
              <w:tc>
                <w:tcPr>
                  <w:tcW w:w="1222" w:type="dxa"/>
                  <w:tcBorders>
                    <w:top w:val="single" w:sz="4" w:space="0" w:color="auto"/>
                    <w:left w:val="nil"/>
                    <w:bottom w:val="single" w:sz="4" w:space="0" w:color="auto"/>
                    <w:right w:val="single" w:sz="4" w:space="0" w:color="auto"/>
                  </w:tcBorders>
                  <w:shd w:val="clear" w:color="auto" w:fill="auto"/>
                  <w:vAlign w:val="bottom"/>
                </w:tcPr>
                <w:p w14:paraId="7D1323F7" w14:textId="2A6FED37" w:rsidR="00507C56" w:rsidRPr="00507C56" w:rsidRDefault="00507C56" w:rsidP="00507C56">
                  <w:pPr>
                    <w:rPr>
                      <w:iCs/>
                      <w:sz w:val="24"/>
                      <w:szCs w:val="24"/>
                      <w:lang w:val="en-US"/>
                    </w:rPr>
                  </w:pPr>
                  <w:r w:rsidRPr="00507C56">
                    <w:rPr>
                      <w:rFonts w:ascii="Calibri" w:hAnsi="Calibri" w:cs="Calibri"/>
                      <w:sz w:val="24"/>
                      <w:szCs w:val="24"/>
                    </w:rPr>
                    <w:t>38%</w:t>
                  </w:r>
                </w:p>
              </w:tc>
              <w:tc>
                <w:tcPr>
                  <w:tcW w:w="1222" w:type="dxa"/>
                  <w:tcBorders>
                    <w:top w:val="single" w:sz="4" w:space="0" w:color="auto"/>
                    <w:left w:val="nil"/>
                    <w:bottom w:val="single" w:sz="4" w:space="0" w:color="auto"/>
                    <w:right w:val="single" w:sz="8" w:space="0" w:color="auto"/>
                  </w:tcBorders>
                  <w:shd w:val="clear" w:color="auto" w:fill="auto"/>
                  <w:vAlign w:val="bottom"/>
                </w:tcPr>
                <w:p w14:paraId="6257ABCC" w14:textId="22EC24E8" w:rsidR="00507C56" w:rsidRPr="00507C56" w:rsidRDefault="00507C56" w:rsidP="00507C56">
                  <w:pPr>
                    <w:rPr>
                      <w:iCs/>
                      <w:sz w:val="24"/>
                      <w:szCs w:val="24"/>
                      <w:lang w:val="en-US"/>
                    </w:rPr>
                  </w:pPr>
                  <w:r w:rsidRPr="00507C56">
                    <w:rPr>
                      <w:rFonts w:ascii="Calibri" w:hAnsi="Calibri" w:cs="Calibri"/>
                      <w:sz w:val="24"/>
                      <w:szCs w:val="24"/>
                    </w:rPr>
                    <w:t>34%</w:t>
                  </w:r>
                </w:p>
              </w:tc>
              <w:tc>
                <w:tcPr>
                  <w:tcW w:w="1223" w:type="dxa"/>
                  <w:tcBorders>
                    <w:top w:val="single" w:sz="4" w:space="0" w:color="auto"/>
                    <w:left w:val="single" w:sz="4" w:space="0" w:color="auto"/>
                    <w:bottom w:val="single" w:sz="4" w:space="0" w:color="auto"/>
                    <w:right w:val="single" w:sz="8" w:space="0" w:color="auto"/>
                  </w:tcBorders>
                  <w:shd w:val="clear" w:color="000000" w:fill="DDEBF7"/>
                  <w:vAlign w:val="bottom"/>
                </w:tcPr>
                <w:p w14:paraId="58668EB2" w14:textId="04A4164D" w:rsidR="00507C56" w:rsidRPr="00507C56" w:rsidRDefault="00507C56" w:rsidP="00507C56">
                  <w:pPr>
                    <w:rPr>
                      <w:iCs/>
                      <w:sz w:val="24"/>
                      <w:szCs w:val="24"/>
                      <w:lang w:val="en-US"/>
                    </w:rPr>
                  </w:pPr>
                  <w:r w:rsidRPr="00507C56">
                    <w:rPr>
                      <w:rFonts w:ascii="Calibri" w:hAnsi="Calibri" w:cs="Calibri"/>
                      <w:color w:val="0070C0"/>
                      <w:sz w:val="24"/>
                      <w:szCs w:val="24"/>
                    </w:rPr>
                    <w:t>31%</w:t>
                  </w:r>
                </w:p>
              </w:tc>
            </w:tr>
            <w:tr w:rsidR="00507C56" w14:paraId="4011BDF0" w14:textId="77777777" w:rsidTr="00507C56">
              <w:tc>
                <w:tcPr>
                  <w:tcW w:w="875" w:type="dxa"/>
                  <w:tcBorders>
                    <w:top w:val="nil"/>
                    <w:left w:val="single" w:sz="8" w:space="0" w:color="auto"/>
                    <w:bottom w:val="single" w:sz="4" w:space="0" w:color="auto"/>
                    <w:right w:val="nil"/>
                  </w:tcBorders>
                  <w:shd w:val="clear" w:color="auto" w:fill="auto"/>
                  <w:vAlign w:val="bottom"/>
                </w:tcPr>
                <w:p w14:paraId="66FABB33" w14:textId="1C374CB5" w:rsidR="00507C56" w:rsidRPr="00507C56" w:rsidRDefault="00507C56" w:rsidP="00507C56">
                  <w:pPr>
                    <w:rPr>
                      <w:iCs/>
                      <w:sz w:val="24"/>
                      <w:szCs w:val="24"/>
                      <w:lang w:val="en-US"/>
                    </w:rPr>
                  </w:pPr>
                </w:p>
              </w:tc>
              <w:tc>
                <w:tcPr>
                  <w:tcW w:w="1603" w:type="dxa"/>
                  <w:vAlign w:val="bottom"/>
                </w:tcPr>
                <w:p w14:paraId="3BEC748F" w14:textId="4E29713A" w:rsidR="00507C56" w:rsidRPr="00507C56" w:rsidRDefault="00507C56" w:rsidP="00507C56">
                  <w:pPr>
                    <w:rPr>
                      <w:iCs/>
                      <w:sz w:val="24"/>
                      <w:szCs w:val="24"/>
                      <w:lang w:val="en-US"/>
                    </w:rPr>
                  </w:pPr>
                  <w:r w:rsidRPr="00507C56">
                    <w:rPr>
                      <w:rFonts w:ascii="Calibri" w:hAnsi="Calibri" w:cs="Calibri"/>
                      <w:color w:val="000000"/>
                      <w:sz w:val="24"/>
                      <w:szCs w:val="24"/>
                    </w:rPr>
                    <w:t>90-94%</w:t>
                  </w:r>
                </w:p>
              </w:tc>
              <w:tc>
                <w:tcPr>
                  <w:tcW w:w="1222" w:type="dxa"/>
                  <w:tcBorders>
                    <w:top w:val="nil"/>
                    <w:left w:val="single" w:sz="8" w:space="0" w:color="auto"/>
                    <w:bottom w:val="single" w:sz="4" w:space="0" w:color="auto"/>
                    <w:right w:val="single" w:sz="4" w:space="0" w:color="auto"/>
                  </w:tcBorders>
                  <w:shd w:val="clear" w:color="auto" w:fill="auto"/>
                  <w:vAlign w:val="bottom"/>
                </w:tcPr>
                <w:p w14:paraId="79407467" w14:textId="5850AE86" w:rsidR="00507C56" w:rsidRPr="00507C56" w:rsidRDefault="00507C56" w:rsidP="00507C56">
                  <w:pPr>
                    <w:rPr>
                      <w:iCs/>
                      <w:sz w:val="24"/>
                      <w:szCs w:val="24"/>
                      <w:lang w:val="en-US"/>
                    </w:rPr>
                  </w:pPr>
                  <w:r w:rsidRPr="00507C56">
                    <w:rPr>
                      <w:rFonts w:ascii="Calibri" w:hAnsi="Calibri" w:cs="Calibri"/>
                      <w:sz w:val="24"/>
                      <w:szCs w:val="24"/>
                    </w:rPr>
                    <w:t>80%</w:t>
                  </w:r>
                </w:p>
              </w:tc>
              <w:tc>
                <w:tcPr>
                  <w:tcW w:w="1222" w:type="dxa"/>
                  <w:tcBorders>
                    <w:top w:val="nil"/>
                    <w:left w:val="nil"/>
                    <w:bottom w:val="single" w:sz="4" w:space="0" w:color="auto"/>
                    <w:right w:val="single" w:sz="4" w:space="0" w:color="auto"/>
                  </w:tcBorders>
                  <w:shd w:val="clear" w:color="auto" w:fill="auto"/>
                  <w:vAlign w:val="bottom"/>
                </w:tcPr>
                <w:p w14:paraId="38BE872F" w14:textId="2A442725" w:rsidR="00507C56" w:rsidRPr="00507C56" w:rsidRDefault="00507C56" w:rsidP="00507C56">
                  <w:pPr>
                    <w:rPr>
                      <w:iCs/>
                      <w:sz w:val="24"/>
                      <w:szCs w:val="24"/>
                      <w:lang w:val="en-US"/>
                    </w:rPr>
                  </w:pPr>
                  <w:r w:rsidRPr="00507C56">
                    <w:rPr>
                      <w:rFonts w:ascii="Calibri" w:hAnsi="Calibri" w:cs="Calibri"/>
                      <w:sz w:val="24"/>
                      <w:szCs w:val="24"/>
                    </w:rPr>
                    <w:t>50%</w:t>
                  </w:r>
                </w:p>
              </w:tc>
              <w:tc>
                <w:tcPr>
                  <w:tcW w:w="1222" w:type="dxa"/>
                  <w:tcBorders>
                    <w:top w:val="nil"/>
                    <w:left w:val="nil"/>
                    <w:bottom w:val="single" w:sz="4" w:space="0" w:color="auto"/>
                    <w:right w:val="single" w:sz="8" w:space="0" w:color="auto"/>
                  </w:tcBorders>
                  <w:shd w:val="clear" w:color="auto" w:fill="auto"/>
                  <w:vAlign w:val="bottom"/>
                </w:tcPr>
                <w:p w14:paraId="0054E1FB" w14:textId="139E6F77" w:rsidR="00507C56" w:rsidRPr="00507C56" w:rsidRDefault="00507C56" w:rsidP="00507C56">
                  <w:pPr>
                    <w:rPr>
                      <w:iCs/>
                      <w:sz w:val="24"/>
                      <w:szCs w:val="24"/>
                      <w:lang w:val="en-US"/>
                    </w:rPr>
                  </w:pPr>
                  <w:r w:rsidRPr="00507C56">
                    <w:rPr>
                      <w:rFonts w:ascii="Calibri" w:hAnsi="Calibri" w:cs="Calibri"/>
                      <w:sz w:val="24"/>
                      <w:szCs w:val="24"/>
                    </w:rPr>
                    <w:t>50%</w:t>
                  </w:r>
                </w:p>
              </w:tc>
              <w:tc>
                <w:tcPr>
                  <w:tcW w:w="1223" w:type="dxa"/>
                  <w:tcBorders>
                    <w:top w:val="nil"/>
                    <w:left w:val="single" w:sz="4" w:space="0" w:color="auto"/>
                    <w:bottom w:val="single" w:sz="4" w:space="0" w:color="auto"/>
                    <w:right w:val="single" w:sz="8" w:space="0" w:color="auto"/>
                  </w:tcBorders>
                  <w:shd w:val="clear" w:color="000000" w:fill="DDEBF7"/>
                  <w:vAlign w:val="bottom"/>
                </w:tcPr>
                <w:p w14:paraId="536E0DBC" w14:textId="25F82BA4" w:rsidR="00507C56" w:rsidRPr="00507C56" w:rsidRDefault="00507C56" w:rsidP="00507C56">
                  <w:pPr>
                    <w:rPr>
                      <w:iCs/>
                      <w:sz w:val="24"/>
                      <w:szCs w:val="24"/>
                      <w:lang w:val="en-US"/>
                    </w:rPr>
                  </w:pPr>
                  <w:r w:rsidRPr="00507C56">
                    <w:rPr>
                      <w:rFonts w:ascii="Calibri" w:hAnsi="Calibri" w:cs="Calibri"/>
                      <w:color w:val="0070C0"/>
                      <w:sz w:val="24"/>
                      <w:szCs w:val="24"/>
                    </w:rPr>
                    <w:t>40%</w:t>
                  </w:r>
                </w:p>
              </w:tc>
            </w:tr>
            <w:tr w:rsidR="00507C56" w14:paraId="6075F73C" w14:textId="77777777" w:rsidTr="00507C56">
              <w:tc>
                <w:tcPr>
                  <w:tcW w:w="875" w:type="dxa"/>
                  <w:tcBorders>
                    <w:top w:val="nil"/>
                    <w:left w:val="single" w:sz="8" w:space="0" w:color="auto"/>
                    <w:bottom w:val="single" w:sz="4" w:space="0" w:color="auto"/>
                    <w:right w:val="nil"/>
                  </w:tcBorders>
                  <w:shd w:val="clear" w:color="auto" w:fill="auto"/>
                  <w:vAlign w:val="bottom"/>
                </w:tcPr>
                <w:p w14:paraId="03B083D9" w14:textId="1086876F" w:rsidR="00507C56" w:rsidRPr="00507C56" w:rsidRDefault="00507C56" w:rsidP="00507C56">
                  <w:pPr>
                    <w:rPr>
                      <w:iCs/>
                      <w:sz w:val="24"/>
                      <w:szCs w:val="24"/>
                      <w:lang w:val="en-US"/>
                    </w:rPr>
                  </w:pPr>
                </w:p>
              </w:tc>
              <w:tc>
                <w:tcPr>
                  <w:tcW w:w="1603" w:type="dxa"/>
                  <w:vAlign w:val="bottom"/>
                </w:tcPr>
                <w:p w14:paraId="25BEBF46" w14:textId="26E9AA32" w:rsidR="00507C56" w:rsidRPr="00507C56" w:rsidRDefault="00507C56" w:rsidP="00507C56">
                  <w:pPr>
                    <w:rPr>
                      <w:iCs/>
                      <w:sz w:val="24"/>
                      <w:szCs w:val="24"/>
                      <w:lang w:val="en-US"/>
                    </w:rPr>
                  </w:pPr>
                  <w:r w:rsidRPr="00507C56">
                    <w:rPr>
                      <w:rFonts w:ascii="Calibri" w:hAnsi="Calibri" w:cs="Calibri"/>
                      <w:color w:val="000000"/>
                      <w:sz w:val="24"/>
                      <w:szCs w:val="24"/>
                    </w:rPr>
                    <w:t>85-89%</w:t>
                  </w:r>
                </w:p>
              </w:tc>
              <w:tc>
                <w:tcPr>
                  <w:tcW w:w="1222" w:type="dxa"/>
                  <w:tcBorders>
                    <w:top w:val="nil"/>
                    <w:left w:val="single" w:sz="8" w:space="0" w:color="auto"/>
                    <w:bottom w:val="single" w:sz="4" w:space="0" w:color="auto"/>
                    <w:right w:val="single" w:sz="4" w:space="0" w:color="auto"/>
                  </w:tcBorders>
                  <w:shd w:val="clear" w:color="auto" w:fill="auto"/>
                  <w:vAlign w:val="bottom"/>
                </w:tcPr>
                <w:p w14:paraId="21BCB70D" w14:textId="4026E479" w:rsidR="00507C56" w:rsidRPr="00507C56" w:rsidRDefault="00507C56" w:rsidP="00507C56">
                  <w:pPr>
                    <w:rPr>
                      <w:iCs/>
                      <w:sz w:val="24"/>
                      <w:szCs w:val="24"/>
                      <w:lang w:val="en-US"/>
                    </w:rPr>
                  </w:pPr>
                  <w:r w:rsidRPr="00507C56">
                    <w:rPr>
                      <w:rFonts w:ascii="Calibri" w:hAnsi="Calibri" w:cs="Calibri"/>
                      <w:sz w:val="24"/>
                      <w:szCs w:val="24"/>
                    </w:rPr>
                    <w:t>33%</w:t>
                  </w:r>
                </w:p>
              </w:tc>
              <w:tc>
                <w:tcPr>
                  <w:tcW w:w="1222" w:type="dxa"/>
                  <w:tcBorders>
                    <w:top w:val="nil"/>
                    <w:left w:val="nil"/>
                    <w:bottom w:val="single" w:sz="4" w:space="0" w:color="auto"/>
                    <w:right w:val="single" w:sz="4" w:space="0" w:color="auto"/>
                  </w:tcBorders>
                  <w:shd w:val="clear" w:color="auto" w:fill="auto"/>
                  <w:vAlign w:val="bottom"/>
                </w:tcPr>
                <w:p w14:paraId="5FC7204C" w14:textId="2F17D14C" w:rsidR="00507C56" w:rsidRPr="00507C56" w:rsidRDefault="00507C56" w:rsidP="00507C56">
                  <w:pPr>
                    <w:rPr>
                      <w:iCs/>
                      <w:sz w:val="24"/>
                      <w:szCs w:val="24"/>
                      <w:lang w:val="en-US"/>
                    </w:rPr>
                  </w:pPr>
                  <w:r w:rsidRPr="00507C56">
                    <w:rPr>
                      <w:rFonts w:ascii="Calibri" w:hAnsi="Calibri" w:cs="Calibri"/>
                      <w:sz w:val="24"/>
                      <w:szCs w:val="24"/>
                    </w:rPr>
                    <w:t>25%</w:t>
                  </w:r>
                </w:p>
              </w:tc>
              <w:tc>
                <w:tcPr>
                  <w:tcW w:w="1222" w:type="dxa"/>
                  <w:tcBorders>
                    <w:top w:val="nil"/>
                    <w:left w:val="nil"/>
                    <w:bottom w:val="single" w:sz="4" w:space="0" w:color="auto"/>
                    <w:right w:val="single" w:sz="8" w:space="0" w:color="auto"/>
                  </w:tcBorders>
                  <w:shd w:val="clear" w:color="auto" w:fill="auto"/>
                  <w:vAlign w:val="bottom"/>
                </w:tcPr>
                <w:p w14:paraId="752EF4C0" w14:textId="3FC51432" w:rsidR="00507C56" w:rsidRPr="00507C56" w:rsidRDefault="00507C56" w:rsidP="00507C56">
                  <w:pPr>
                    <w:rPr>
                      <w:iCs/>
                      <w:sz w:val="24"/>
                      <w:szCs w:val="24"/>
                      <w:lang w:val="en-US"/>
                    </w:rPr>
                  </w:pPr>
                  <w:r w:rsidRPr="00507C56">
                    <w:rPr>
                      <w:rFonts w:ascii="Calibri" w:hAnsi="Calibri" w:cs="Calibri"/>
                      <w:sz w:val="24"/>
                      <w:szCs w:val="24"/>
                    </w:rPr>
                    <w:t>42%</w:t>
                  </w:r>
                </w:p>
              </w:tc>
              <w:tc>
                <w:tcPr>
                  <w:tcW w:w="1223" w:type="dxa"/>
                  <w:tcBorders>
                    <w:top w:val="nil"/>
                    <w:left w:val="single" w:sz="4" w:space="0" w:color="auto"/>
                    <w:bottom w:val="single" w:sz="4" w:space="0" w:color="auto"/>
                    <w:right w:val="single" w:sz="8" w:space="0" w:color="auto"/>
                  </w:tcBorders>
                  <w:shd w:val="clear" w:color="000000" w:fill="DDEBF7"/>
                  <w:vAlign w:val="bottom"/>
                </w:tcPr>
                <w:p w14:paraId="25704E3B" w14:textId="3CAEF7BD" w:rsidR="00507C56" w:rsidRPr="00507C56" w:rsidRDefault="00507C56" w:rsidP="00507C56">
                  <w:pPr>
                    <w:rPr>
                      <w:iCs/>
                      <w:sz w:val="24"/>
                      <w:szCs w:val="24"/>
                      <w:lang w:val="en-US"/>
                    </w:rPr>
                  </w:pPr>
                  <w:r w:rsidRPr="00507C56">
                    <w:rPr>
                      <w:rFonts w:ascii="Calibri" w:hAnsi="Calibri" w:cs="Calibri"/>
                      <w:color w:val="0070C0"/>
                      <w:sz w:val="24"/>
                      <w:szCs w:val="24"/>
                    </w:rPr>
                    <w:t>25%</w:t>
                  </w:r>
                </w:p>
              </w:tc>
            </w:tr>
            <w:tr w:rsidR="00507C56" w14:paraId="380C1C5E" w14:textId="77777777" w:rsidTr="00507C56">
              <w:tc>
                <w:tcPr>
                  <w:tcW w:w="875" w:type="dxa"/>
                  <w:tcBorders>
                    <w:top w:val="nil"/>
                    <w:left w:val="single" w:sz="8" w:space="0" w:color="auto"/>
                    <w:bottom w:val="single" w:sz="8" w:space="0" w:color="auto"/>
                    <w:right w:val="nil"/>
                  </w:tcBorders>
                  <w:shd w:val="clear" w:color="auto" w:fill="auto"/>
                  <w:vAlign w:val="bottom"/>
                </w:tcPr>
                <w:p w14:paraId="289AB5C7" w14:textId="14067256" w:rsidR="00507C56" w:rsidRPr="00507C56" w:rsidRDefault="00507C56" w:rsidP="00507C56">
                  <w:pPr>
                    <w:rPr>
                      <w:iCs/>
                      <w:sz w:val="24"/>
                      <w:szCs w:val="24"/>
                      <w:lang w:val="en-US"/>
                    </w:rPr>
                  </w:pPr>
                </w:p>
              </w:tc>
              <w:tc>
                <w:tcPr>
                  <w:tcW w:w="1603" w:type="dxa"/>
                  <w:vAlign w:val="bottom"/>
                </w:tcPr>
                <w:p w14:paraId="523C6C3B" w14:textId="6D32F7C2" w:rsidR="00507C56" w:rsidRPr="00507C56" w:rsidRDefault="00507C56" w:rsidP="00507C56">
                  <w:pPr>
                    <w:rPr>
                      <w:iCs/>
                      <w:sz w:val="24"/>
                      <w:szCs w:val="24"/>
                      <w:lang w:val="en-US"/>
                    </w:rPr>
                  </w:pPr>
                  <w:r w:rsidRPr="00507C56">
                    <w:rPr>
                      <w:rFonts w:ascii="Calibri" w:hAnsi="Calibri" w:cs="Calibri"/>
                      <w:color w:val="000000"/>
                      <w:sz w:val="24"/>
                      <w:szCs w:val="24"/>
                    </w:rPr>
                    <w:t>&lt;85%</w:t>
                  </w:r>
                </w:p>
              </w:tc>
              <w:tc>
                <w:tcPr>
                  <w:tcW w:w="1222" w:type="dxa"/>
                  <w:tcBorders>
                    <w:top w:val="nil"/>
                    <w:left w:val="single" w:sz="8" w:space="0" w:color="auto"/>
                    <w:bottom w:val="single" w:sz="8" w:space="0" w:color="auto"/>
                    <w:right w:val="single" w:sz="4" w:space="0" w:color="auto"/>
                  </w:tcBorders>
                  <w:shd w:val="clear" w:color="auto" w:fill="auto"/>
                  <w:vAlign w:val="bottom"/>
                </w:tcPr>
                <w:p w14:paraId="73110493" w14:textId="06A495DD" w:rsidR="00507C56" w:rsidRPr="00507C56" w:rsidRDefault="00507C56" w:rsidP="00507C56">
                  <w:pPr>
                    <w:rPr>
                      <w:iCs/>
                      <w:sz w:val="24"/>
                      <w:szCs w:val="24"/>
                      <w:lang w:val="en-US"/>
                    </w:rPr>
                  </w:pPr>
                  <w:r w:rsidRPr="00507C56">
                    <w:rPr>
                      <w:rFonts w:ascii="Calibri" w:hAnsi="Calibri" w:cs="Calibri"/>
                      <w:sz w:val="24"/>
                      <w:szCs w:val="24"/>
                    </w:rPr>
                    <w:t>58%</w:t>
                  </w:r>
                </w:p>
              </w:tc>
              <w:tc>
                <w:tcPr>
                  <w:tcW w:w="1222" w:type="dxa"/>
                  <w:tcBorders>
                    <w:top w:val="nil"/>
                    <w:left w:val="nil"/>
                    <w:bottom w:val="single" w:sz="8" w:space="0" w:color="auto"/>
                    <w:right w:val="single" w:sz="4" w:space="0" w:color="auto"/>
                  </w:tcBorders>
                  <w:shd w:val="clear" w:color="auto" w:fill="auto"/>
                  <w:vAlign w:val="bottom"/>
                </w:tcPr>
                <w:p w14:paraId="6EE95FE1" w14:textId="7315EEA3" w:rsidR="00507C56" w:rsidRPr="00507C56" w:rsidRDefault="00507C56" w:rsidP="00507C56">
                  <w:pPr>
                    <w:rPr>
                      <w:iCs/>
                      <w:sz w:val="24"/>
                      <w:szCs w:val="24"/>
                      <w:lang w:val="en-US"/>
                    </w:rPr>
                  </w:pPr>
                  <w:r w:rsidRPr="00507C56">
                    <w:rPr>
                      <w:rFonts w:ascii="Calibri" w:hAnsi="Calibri" w:cs="Calibri"/>
                      <w:sz w:val="24"/>
                      <w:szCs w:val="24"/>
                    </w:rPr>
                    <w:t>50%</w:t>
                  </w:r>
                </w:p>
              </w:tc>
              <w:tc>
                <w:tcPr>
                  <w:tcW w:w="1222" w:type="dxa"/>
                  <w:tcBorders>
                    <w:top w:val="nil"/>
                    <w:left w:val="nil"/>
                    <w:bottom w:val="single" w:sz="8" w:space="0" w:color="auto"/>
                    <w:right w:val="single" w:sz="8" w:space="0" w:color="auto"/>
                  </w:tcBorders>
                  <w:shd w:val="clear" w:color="auto" w:fill="auto"/>
                  <w:vAlign w:val="bottom"/>
                </w:tcPr>
                <w:p w14:paraId="0A102AE9" w14:textId="2B70DBA0" w:rsidR="00507C56" w:rsidRPr="00507C56" w:rsidRDefault="00507C56" w:rsidP="00507C56">
                  <w:pPr>
                    <w:rPr>
                      <w:iCs/>
                      <w:sz w:val="24"/>
                      <w:szCs w:val="24"/>
                      <w:lang w:val="en-US"/>
                    </w:rPr>
                  </w:pPr>
                  <w:r w:rsidRPr="00507C56">
                    <w:rPr>
                      <w:rFonts w:ascii="Calibri" w:hAnsi="Calibri" w:cs="Calibri"/>
                      <w:sz w:val="24"/>
                      <w:szCs w:val="24"/>
                    </w:rPr>
                    <w:t>33%</w:t>
                  </w:r>
                </w:p>
              </w:tc>
              <w:tc>
                <w:tcPr>
                  <w:tcW w:w="1223" w:type="dxa"/>
                  <w:tcBorders>
                    <w:top w:val="nil"/>
                    <w:left w:val="single" w:sz="4" w:space="0" w:color="auto"/>
                    <w:bottom w:val="single" w:sz="8" w:space="0" w:color="auto"/>
                    <w:right w:val="single" w:sz="8" w:space="0" w:color="auto"/>
                  </w:tcBorders>
                  <w:shd w:val="clear" w:color="000000" w:fill="DDEBF7"/>
                  <w:vAlign w:val="bottom"/>
                </w:tcPr>
                <w:p w14:paraId="294ADCFA" w14:textId="1F62DA3D" w:rsidR="00507C56" w:rsidRPr="00507C56" w:rsidRDefault="00507C56" w:rsidP="00507C56">
                  <w:pPr>
                    <w:rPr>
                      <w:iCs/>
                      <w:sz w:val="24"/>
                      <w:szCs w:val="24"/>
                      <w:lang w:val="en-US"/>
                    </w:rPr>
                  </w:pPr>
                  <w:r w:rsidRPr="00507C56">
                    <w:rPr>
                      <w:rFonts w:ascii="Calibri" w:hAnsi="Calibri" w:cs="Calibri"/>
                      <w:color w:val="0070C0"/>
                      <w:sz w:val="24"/>
                      <w:szCs w:val="24"/>
                    </w:rPr>
                    <w:t>33%</w:t>
                  </w:r>
                </w:p>
              </w:tc>
            </w:tr>
          </w:tbl>
          <w:p w14:paraId="183DF03A" w14:textId="77777777" w:rsidR="00E915B6" w:rsidRDefault="00E915B6" w:rsidP="0098212C">
            <w:pPr>
              <w:rPr>
                <w:iCs/>
                <w:lang w:val="en-US"/>
              </w:rPr>
            </w:pPr>
          </w:p>
          <w:p w14:paraId="1085DFE7" w14:textId="77777777" w:rsidR="00745614" w:rsidRDefault="00487443" w:rsidP="0098212C">
            <w:pPr>
              <w:rPr>
                <w:iCs/>
                <w:lang w:val="en-US"/>
              </w:rPr>
            </w:pPr>
            <w:r>
              <w:rPr>
                <w:iCs/>
                <w:lang w:val="en-US"/>
              </w:rPr>
              <w:t xml:space="preserve">We are linked to the Wakefield Trinity initiative to involve Dads and Kids aiming to support and involve fathers. </w:t>
            </w:r>
          </w:p>
          <w:p w14:paraId="7AEB5D75" w14:textId="77777777" w:rsidR="00487443" w:rsidRPr="0098212C" w:rsidRDefault="00487443" w:rsidP="0098212C">
            <w:pPr>
              <w:rPr>
                <w:iCs/>
                <w:lang w:val="en-US"/>
              </w:rPr>
            </w:pPr>
            <w:r>
              <w:rPr>
                <w:iCs/>
                <w:lang w:val="en-US"/>
              </w:rPr>
              <w:t xml:space="preserve">FFS (Friendly Faces Smiling) link with South Wakefield Hub with whom we have an exclusive partnership with weekly, targeted intervention group to address barriers to engagement. </w:t>
            </w:r>
          </w:p>
        </w:tc>
      </w:tr>
      <w:tr w:rsidR="00E4573A" w:rsidRPr="0098212C" w14:paraId="694BE01C" w14:textId="77777777" w:rsidTr="001F5790">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8B6E06" w14:textId="77777777" w:rsidR="00E4573A" w:rsidRPr="0098212C" w:rsidRDefault="00E4573A" w:rsidP="0098212C">
            <w:r>
              <w:lastRenderedPageBreak/>
              <w:t>7</w:t>
            </w:r>
          </w:p>
        </w:tc>
        <w:tc>
          <w:tcPr>
            <w:tcW w:w="78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FDB160" w14:textId="2CEF6880" w:rsidR="00A416DD" w:rsidRPr="00465276" w:rsidRDefault="00E4573A" w:rsidP="00465276">
            <w:pPr>
              <w:rPr>
                <w:iCs/>
                <w:lang w:val="en-US"/>
              </w:rPr>
            </w:pPr>
            <w:r w:rsidRPr="00E4573A">
              <w:rPr>
                <w:iCs/>
                <w:lang w:val="en-US"/>
              </w:rPr>
              <w:t>In</w:t>
            </w:r>
            <w:r w:rsidR="00A416DD" w:rsidRPr="00E4573A">
              <w:rPr>
                <w:iCs/>
                <w:lang w:val="en-US"/>
              </w:rPr>
              <w:t xml:space="preserve"> ward mobility – complex cases</w:t>
            </w:r>
            <w:r w:rsidR="00160DAA">
              <w:rPr>
                <w:iCs/>
                <w:lang w:val="en-US"/>
              </w:rPr>
              <w:t xml:space="preserve"> which create a huge demand on school resources. </w:t>
            </w:r>
          </w:p>
          <w:tbl>
            <w:tblPr>
              <w:tblStyle w:val="TableGrid"/>
              <w:tblW w:w="0" w:type="auto"/>
              <w:tblLook w:val="04A0" w:firstRow="1" w:lastRow="0" w:firstColumn="1" w:lastColumn="0" w:noHBand="0" w:noVBand="1"/>
            </w:tblPr>
            <w:tblGrid>
              <w:gridCol w:w="998"/>
              <w:gridCol w:w="990"/>
              <w:gridCol w:w="990"/>
              <w:gridCol w:w="990"/>
              <w:gridCol w:w="991"/>
              <w:gridCol w:w="991"/>
              <w:gridCol w:w="991"/>
            </w:tblGrid>
            <w:tr w:rsidR="00465276" w14:paraId="000706FB" w14:textId="77777777" w:rsidTr="009E530D">
              <w:tc>
                <w:tcPr>
                  <w:tcW w:w="998" w:type="dxa"/>
                  <w:shd w:val="clear" w:color="auto" w:fill="00B0F0"/>
                </w:tcPr>
                <w:p w14:paraId="20A47EA9" w14:textId="0E4CD476" w:rsidR="00465276" w:rsidRPr="00B248D3" w:rsidRDefault="00465276" w:rsidP="00A416DD">
                  <w:pPr>
                    <w:spacing w:before="120"/>
                    <w:textAlignment w:val="baseline"/>
                    <w:rPr>
                      <w:rFonts w:eastAsia="Times New Roman" w:cstheme="minorHAnsi"/>
                      <w:color w:val="242424"/>
                      <w:lang w:eastAsia="en-GB"/>
                    </w:rPr>
                  </w:pPr>
                  <w:r w:rsidRPr="00B248D3">
                    <w:rPr>
                      <w:rFonts w:eastAsia="Times New Roman" w:cstheme="minorHAnsi"/>
                      <w:color w:val="242424"/>
                      <w:lang w:eastAsia="en-GB"/>
                    </w:rPr>
                    <w:t>EYFS</w:t>
                  </w:r>
                </w:p>
              </w:tc>
              <w:tc>
                <w:tcPr>
                  <w:tcW w:w="990" w:type="dxa"/>
                  <w:shd w:val="clear" w:color="auto" w:fill="00B0F0"/>
                </w:tcPr>
                <w:p w14:paraId="619BDDE1" w14:textId="31786BCD" w:rsidR="00465276" w:rsidRPr="00B248D3" w:rsidRDefault="00465276" w:rsidP="00A416DD">
                  <w:pPr>
                    <w:spacing w:before="120"/>
                    <w:textAlignment w:val="baseline"/>
                    <w:rPr>
                      <w:rFonts w:eastAsia="Times New Roman" w:cstheme="minorHAnsi"/>
                      <w:color w:val="242424"/>
                      <w:lang w:eastAsia="en-GB"/>
                    </w:rPr>
                  </w:pPr>
                  <w:r w:rsidRPr="00B248D3">
                    <w:rPr>
                      <w:rFonts w:eastAsia="Times New Roman" w:cstheme="minorHAnsi"/>
                      <w:color w:val="242424"/>
                      <w:lang w:eastAsia="en-GB"/>
                    </w:rPr>
                    <w:t>Year 1</w:t>
                  </w:r>
                </w:p>
              </w:tc>
              <w:tc>
                <w:tcPr>
                  <w:tcW w:w="990" w:type="dxa"/>
                  <w:shd w:val="clear" w:color="auto" w:fill="00B0F0"/>
                </w:tcPr>
                <w:p w14:paraId="339BDB54" w14:textId="329540F7" w:rsidR="00465276" w:rsidRPr="00B248D3" w:rsidRDefault="00465276" w:rsidP="00A416DD">
                  <w:pPr>
                    <w:spacing w:before="120"/>
                    <w:textAlignment w:val="baseline"/>
                    <w:rPr>
                      <w:rFonts w:eastAsia="Times New Roman" w:cstheme="minorHAnsi"/>
                      <w:color w:val="242424"/>
                      <w:lang w:eastAsia="en-GB"/>
                    </w:rPr>
                  </w:pPr>
                  <w:r w:rsidRPr="00B248D3">
                    <w:rPr>
                      <w:rFonts w:eastAsia="Times New Roman" w:cstheme="minorHAnsi"/>
                      <w:color w:val="242424"/>
                      <w:lang w:eastAsia="en-GB"/>
                    </w:rPr>
                    <w:t>Year 2</w:t>
                  </w:r>
                </w:p>
              </w:tc>
              <w:tc>
                <w:tcPr>
                  <w:tcW w:w="990" w:type="dxa"/>
                  <w:shd w:val="clear" w:color="auto" w:fill="00B0F0"/>
                </w:tcPr>
                <w:p w14:paraId="7D39F024" w14:textId="2773818B" w:rsidR="00465276" w:rsidRPr="00B248D3" w:rsidRDefault="00465276" w:rsidP="00A416DD">
                  <w:pPr>
                    <w:spacing w:before="120"/>
                    <w:textAlignment w:val="baseline"/>
                    <w:rPr>
                      <w:rFonts w:eastAsia="Times New Roman" w:cstheme="minorHAnsi"/>
                      <w:color w:val="242424"/>
                      <w:lang w:eastAsia="en-GB"/>
                    </w:rPr>
                  </w:pPr>
                  <w:r w:rsidRPr="00B248D3">
                    <w:rPr>
                      <w:rFonts w:eastAsia="Times New Roman" w:cstheme="minorHAnsi"/>
                      <w:color w:val="242424"/>
                      <w:lang w:eastAsia="en-GB"/>
                    </w:rPr>
                    <w:t>Year 3</w:t>
                  </w:r>
                </w:p>
              </w:tc>
              <w:tc>
                <w:tcPr>
                  <w:tcW w:w="991" w:type="dxa"/>
                  <w:shd w:val="clear" w:color="auto" w:fill="00B0F0"/>
                </w:tcPr>
                <w:p w14:paraId="32BE91FC" w14:textId="7FFDFF92" w:rsidR="00465276" w:rsidRPr="00B248D3" w:rsidRDefault="00465276" w:rsidP="00A416DD">
                  <w:pPr>
                    <w:spacing w:before="120"/>
                    <w:textAlignment w:val="baseline"/>
                    <w:rPr>
                      <w:rFonts w:eastAsia="Times New Roman" w:cstheme="minorHAnsi"/>
                      <w:color w:val="242424"/>
                      <w:lang w:eastAsia="en-GB"/>
                    </w:rPr>
                  </w:pPr>
                  <w:r w:rsidRPr="00B248D3">
                    <w:rPr>
                      <w:rFonts w:eastAsia="Times New Roman" w:cstheme="minorHAnsi"/>
                      <w:color w:val="242424"/>
                      <w:lang w:eastAsia="en-GB"/>
                    </w:rPr>
                    <w:t>Year 4</w:t>
                  </w:r>
                </w:p>
              </w:tc>
              <w:tc>
                <w:tcPr>
                  <w:tcW w:w="991" w:type="dxa"/>
                  <w:shd w:val="clear" w:color="auto" w:fill="00B0F0"/>
                </w:tcPr>
                <w:p w14:paraId="53F34298" w14:textId="4C1DCFD6" w:rsidR="00465276" w:rsidRPr="00B248D3" w:rsidRDefault="00465276" w:rsidP="00A416DD">
                  <w:pPr>
                    <w:spacing w:before="120"/>
                    <w:textAlignment w:val="baseline"/>
                    <w:rPr>
                      <w:rFonts w:eastAsia="Times New Roman" w:cstheme="minorHAnsi"/>
                      <w:color w:val="242424"/>
                      <w:lang w:eastAsia="en-GB"/>
                    </w:rPr>
                  </w:pPr>
                  <w:r w:rsidRPr="00B248D3">
                    <w:rPr>
                      <w:rFonts w:eastAsia="Times New Roman" w:cstheme="minorHAnsi"/>
                      <w:color w:val="242424"/>
                      <w:lang w:eastAsia="en-GB"/>
                    </w:rPr>
                    <w:t>Year 5</w:t>
                  </w:r>
                </w:p>
              </w:tc>
              <w:tc>
                <w:tcPr>
                  <w:tcW w:w="991" w:type="dxa"/>
                  <w:shd w:val="clear" w:color="auto" w:fill="00B0F0"/>
                </w:tcPr>
                <w:p w14:paraId="364E9716" w14:textId="1FA63C39" w:rsidR="00465276" w:rsidRPr="00B248D3" w:rsidRDefault="00465276" w:rsidP="00A416DD">
                  <w:pPr>
                    <w:spacing w:before="120"/>
                    <w:textAlignment w:val="baseline"/>
                    <w:rPr>
                      <w:rFonts w:eastAsia="Times New Roman" w:cstheme="minorHAnsi"/>
                      <w:color w:val="242424"/>
                      <w:lang w:eastAsia="en-GB"/>
                    </w:rPr>
                  </w:pPr>
                  <w:r w:rsidRPr="00B248D3">
                    <w:rPr>
                      <w:rFonts w:eastAsia="Times New Roman" w:cstheme="minorHAnsi"/>
                      <w:color w:val="242424"/>
                      <w:lang w:eastAsia="en-GB"/>
                    </w:rPr>
                    <w:t>Year 6</w:t>
                  </w:r>
                </w:p>
              </w:tc>
            </w:tr>
            <w:tr w:rsidR="00465276" w14:paraId="36A82EC7" w14:textId="77777777" w:rsidTr="00465276">
              <w:tc>
                <w:tcPr>
                  <w:tcW w:w="998" w:type="dxa"/>
                </w:tcPr>
                <w:p w14:paraId="28A37273" w14:textId="476129CD" w:rsidR="00465276" w:rsidRDefault="00465276" w:rsidP="00A416DD">
                  <w:pPr>
                    <w:spacing w:before="120"/>
                    <w:textAlignment w:val="baseline"/>
                    <w:rPr>
                      <w:rFonts w:ascii="Segoe UI" w:eastAsia="Times New Roman" w:hAnsi="Segoe UI" w:cs="Segoe UI"/>
                      <w:color w:val="242424"/>
                      <w:sz w:val="23"/>
                      <w:szCs w:val="23"/>
                      <w:lang w:eastAsia="en-GB"/>
                    </w:rPr>
                  </w:pPr>
                  <w:r>
                    <w:rPr>
                      <w:rFonts w:ascii="Segoe UI" w:eastAsia="Times New Roman" w:hAnsi="Segoe UI" w:cs="Segoe UI"/>
                      <w:color w:val="242424"/>
                      <w:sz w:val="23"/>
                      <w:szCs w:val="23"/>
                      <w:lang w:eastAsia="en-GB"/>
                    </w:rPr>
                    <w:t>1</w:t>
                  </w:r>
                </w:p>
              </w:tc>
              <w:tc>
                <w:tcPr>
                  <w:tcW w:w="990" w:type="dxa"/>
                </w:tcPr>
                <w:p w14:paraId="216A6026" w14:textId="77777777" w:rsidR="00465276" w:rsidRDefault="00465276" w:rsidP="00A416DD">
                  <w:pPr>
                    <w:spacing w:before="120"/>
                    <w:textAlignment w:val="baseline"/>
                    <w:rPr>
                      <w:rFonts w:ascii="Segoe UI" w:eastAsia="Times New Roman" w:hAnsi="Segoe UI" w:cs="Segoe UI"/>
                      <w:color w:val="242424"/>
                      <w:sz w:val="23"/>
                      <w:szCs w:val="23"/>
                      <w:lang w:eastAsia="en-GB"/>
                    </w:rPr>
                  </w:pPr>
                </w:p>
              </w:tc>
              <w:tc>
                <w:tcPr>
                  <w:tcW w:w="990" w:type="dxa"/>
                </w:tcPr>
                <w:p w14:paraId="08F76607" w14:textId="51ADCCA3" w:rsidR="00465276" w:rsidRDefault="00465276" w:rsidP="00A416DD">
                  <w:pPr>
                    <w:spacing w:before="120"/>
                    <w:textAlignment w:val="baseline"/>
                    <w:rPr>
                      <w:rFonts w:ascii="Segoe UI" w:eastAsia="Times New Roman" w:hAnsi="Segoe UI" w:cs="Segoe UI"/>
                      <w:color w:val="242424"/>
                      <w:sz w:val="23"/>
                      <w:szCs w:val="23"/>
                      <w:lang w:eastAsia="en-GB"/>
                    </w:rPr>
                  </w:pPr>
                </w:p>
              </w:tc>
              <w:tc>
                <w:tcPr>
                  <w:tcW w:w="990" w:type="dxa"/>
                </w:tcPr>
                <w:p w14:paraId="1611D451" w14:textId="13905C2A" w:rsidR="00465276" w:rsidRDefault="00465276" w:rsidP="00A416DD">
                  <w:pPr>
                    <w:spacing w:before="120"/>
                    <w:textAlignment w:val="baseline"/>
                    <w:rPr>
                      <w:rFonts w:ascii="Segoe UI" w:eastAsia="Times New Roman" w:hAnsi="Segoe UI" w:cs="Segoe UI"/>
                      <w:color w:val="242424"/>
                      <w:sz w:val="23"/>
                      <w:szCs w:val="23"/>
                      <w:lang w:eastAsia="en-GB"/>
                    </w:rPr>
                  </w:pPr>
                  <w:r>
                    <w:rPr>
                      <w:rFonts w:ascii="Segoe UI" w:eastAsia="Times New Roman" w:hAnsi="Segoe UI" w:cs="Segoe UI"/>
                      <w:color w:val="242424"/>
                      <w:sz w:val="23"/>
                      <w:szCs w:val="23"/>
                      <w:lang w:eastAsia="en-GB"/>
                    </w:rPr>
                    <w:t>1</w:t>
                  </w:r>
                </w:p>
              </w:tc>
              <w:tc>
                <w:tcPr>
                  <w:tcW w:w="991" w:type="dxa"/>
                </w:tcPr>
                <w:p w14:paraId="450ADCA0" w14:textId="242C6DA8" w:rsidR="00465276" w:rsidRDefault="00465276" w:rsidP="00A416DD">
                  <w:pPr>
                    <w:spacing w:before="120"/>
                    <w:textAlignment w:val="baseline"/>
                    <w:rPr>
                      <w:rFonts w:ascii="Segoe UI" w:eastAsia="Times New Roman" w:hAnsi="Segoe UI" w:cs="Segoe UI"/>
                      <w:color w:val="242424"/>
                      <w:sz w:val="23"/>
                      <w:szCs w:val="23"/>
                      <w:lang w:eastAsia="en-GB"/>
                    </w:rPr>
                  </w:pPr>
                  <w:r>
                    <w:rPr>
                      <w:rFonts w:ascii="Segoe UI" w:eastAsia="Times New Roman" w:hAnsi="Segoe UI" w:cs="Segoe UI"/>
                      <w:color w:val="242424"/>
                      <w:sz w:val="23"/>
                      <w:szCs w:val="23"/>
                      <w:lang w:eastAsia="en-GB"/>
                    </w:rPr>
                    <w:t>5</w:t>
                  </w:r>
                </w:p>
              </w:tc>
              <w:tc>
                <w:tcPr>
                  <w:tcW w:w="991" w:type="dxa"/>
                </w:tcPr>
                <w:p w14:paraId="4CBEBE9D" w14:textId="57779AED" w:rsidR="00465276" w:rsidRDefault="00465276" w:rsidP="00A416DD">
                  <w:pPr>
                    <w:spacing w:before="120"/>
                    <w:textAlignment w:val="baseline"/>
                    <w:rPr>
                      <w:rFonts w:ascii="Segoe UI" w:eastAsia="Times New Roman" w:hAnsi="Segoe UI" w:cs="Segoe UI"/>
                      <w:color w:val="242424"/>
                      <w:sz w:val="23"/>
                      <w:szCs w:val="23"/>
                      <w:lang w:eastAsia="en-GB"/>
                    </w:rPr>
                  </w:pPr>
                  <w:r>
                    <w:rPr>
                      <w:rFonts w:ascii="Segoe UI" w:eastAsia="Times New Roman" w:hAnsi="Segoe UI" w:cs="Segoe UI"/>
                      <w:color w:val="242424"/>
                      <w:sz w:val="23"/>
                      <w:szCs w:val="23"/>
                      <w:lang w:eastAsia="en-GB"/>
                    </w:rPr>
                    <w:t>3</w:t>
                  </w:r>
                </w:p>
              </w:tc>
              <w:tc>
                <w:tcPr>
                  <w:tcW w:w="991" w:type="dxa"/>
                </w:tcPr>
                <w:p w14:paraId="4CA37ABB" w14:textId="227F4839" w:rsidR="00465276" w:rsidRDefault="00465276" w:rsidP="00A416DD">
                  <w:pPr>
                    <w:spacing w:before="120"/>
                    <w:textAlignment w:val="baseline"/>
                    <w:rPr>
                      <w:rFonts w:ascii="Segoe UI" w:eastAsia="Times New Roman" w:hAnsi="Segoe UI" w:cs="Segoe UI"/>
                      <w:color w:val="242424"/>
                      <w:sz w:val="23"/>
                      <w:szCs w:val="23"/>
                      <w:lang w:eastAsia="en-GB"/>
                    </w:rPr>
                  </w:pPr>
                  <w:r>
                    <w:rPr>
                      <w:rFonts w:ascii="Segoe UI" w:eastAsia="Times New Roman" w:hAnsi="Segoe UI" w:cs="Segoe UI"/>
                      <w:color w:val="242424"/>
                      <w:sz w:val="23"/>
                      <w:szCs w:val="23"/>
                      <w:lang w:eastAsia="en-GB"/>
                    </w:rPr>
                    <w:t>3</w:t>
                  </w:r>
                </w:p>
              </w:tc>
            </w:tr>
          </w:tbl>
          <w:p w14:paraId="311E507A" w14:textId="77777777" w:rsidR="00A1451A" w:rsidRPr="00A416DD" w:rsidRDefault="00A1451A" w:rsidP="00A416DD">
            <w:pPr>
              <w:shd w:val="clear" w:color="auto" w:fill="FFFFFF"/>
              <w:spacing w:before="120" w:after="0" w:line="240" w:lineRule="auto"/>
              <w:ind w:left="720"/>
              <w:textAlignment w:val="baseline"/>
              <w:rPr>
                <w:rFonts w:ascii="Segoe UI" w:eastAsia="Times New Roman" w:hAnsi="Segoe UI" w:cs="Segoe UI"/>
                <w:color w:val="242424"/>
                <w:sz w:val="23"/>
                <w:szCs w:val="23"/>
                <w:lang w:eastAsia="en-GB"/>
              </w:rPr>
            </w:pPr>
          </w:p>
          <w:p w14:paraId="70D50DB1" w14:textId="77777777" w:rsidR="00735556" w:rsidRDefault="00735556" w:rsidP="00E4573A">
            <w:pPr>
              <w:rPr>
                <w:iCs/>
                <w:lang w:val="en-US"/>
              </w:rPr>
            </w:pPr>
            <w:r>
              <w:rPr>
                <w:iCs/>
                <w:lang w:val="en-US"/>
              </w:rPr>
              <w:t xml:space="preserve">In future SLT will attend Fair Access Panels to seek to ensure balance across school in terms of meeting extreme levels of need. </w:t>
            </w:r>
          </w:p>
          <w:p w14:paraId="387B3277" w14:textId="77777777" w:rsidR="00255CE0" w:rsidRPr="00E4573A" w:rsidRDefault="00255CE0" w:rsidP="00E4573A">
            <w:pPr>
              <w:rPr>
                <w:iCs/>
                <w:lang w:val="en-US"/>
              </w:rPr>
            </w:pPr>
            <w:r>
              <w:rPr>
                <w:iCs/>
                <w:lang w:val="en-US"/>
              </w:rPr>
              <w:t>Also pre-empting admission issues in order to balance intake</w:t>
            </w:r>
            <w:r w:rsidR="00EF2B07">
              <w:rPr>
                <w:iCs/>
                <w:lang w:val="en-US"/>
              </w:rPr>
              <w:t xml:space="preserve"> and be able to meet need. </w:t>
            </w:r>
          </w:p>
        </w:tc>
      </w:tr>
      <w:tr w:rsidR="00E4573A" w:rsidRPr="0098212C" w14:paraId="1E19FC04" w14:textId="77777777" w:rsidTr="001F5790">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E18D0E" w14:textId="77777777" w:rsidR="00E4573A" w:rsidRDefault="00E4573A" w:rsidP="0098212C">
            <w:r>
              <w:t>8</w:t>
            </w:r>
          </w:p>
        </w:tc>
        <w:tc>
          <w:tcPr>
            <w:tcW w:w="78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2336A3" w14:textId="77777777" w:rsidR="00E4573A" w:rsidRDefault="00E4573A" w:rsidP="00E4573A">
            <w:pPr>
              <w:rPr>
                <w:iCs/>
                <w:lang w:val="en-US"/>
              </w:rPr>
            </w:pPr>
            <w:r w:rsidRPr="00E4573A">
              <w:rPr>
                <w:iCs/>
                <w:lang w:val="en-US"/>
              </w:rPr>
              <w:t>Emotional regulation and stability in readiness for academic learning – Ensuring effective support to sustain positive mental healt</w:t>
            </w:r>
            <w:r w:rsidR="00C074AE">
              <w:rPr>
                <w:iCs/>
                <w:lang w:val="en-US"/>
              </w:rPr>
              <w:t xml:space="preserve">h and well-being is a priority. </w:t>
            </w:r>
            <w:r w:rsidRPr="00E4573A">
              <w:rPr>
                <w:iCs/>
                <w:lang w:val="en-US"/>
              </w:rPr>
              <w:t xml:space="preserve">Observations indicate that a number of </w:t>
            </w:r>
            <w:r w:rsidR="00C074AE">
              <w:rPr>
                <w:iCs/>
                <w:lang w:val="en-US"/>
              </w:rPr>
              <w:t>pupils</w:t>
            </w:r>
            <w:r w:rsidRPr="00E4573A">
              <w:rPr>
                <w:iCs/>
                <w:lang w:val="en-US"/>
              </w:rPr>
              <w:t xml:space="preserve"> continue to require bespoke </w:t>
            </w:r>
            <w:proofErr w:type="spellStart"/>
            <w:r w:rsidRPr="00E4573A">
              <w:rPr>
                <w:iCs/>
                <w:lang w:val="en-US"/>
              </w:rPr>
              <w:t>programmes</w:t>
            </w:r>
            <w:proofErr w:type="spellEnd"/>
            <w:r w:rsidRPr="00E4573A">
              <w:rPr>
                <w:iCs/>
                <w:lang w:val="en-US"/>
              </w:rPr>
              <w:t xml:space="preserve"> of support in the areas of SEMH.</w:t>
            </w:r>
          </w:p>
          <w:tbl>
            <w:tblPr>
              <w:tblStyle w:val="TableGrid"/>
              <w:tblW w:w="0" w:type="auto"/>
              <w:tblLook w:val="04A0" w:firstRow="1" w:lastRow="0" w:firstColumn="1" w:lastColumn="0" w:noHBand="0" w:noVBand="1"/>
            </w:tblPr>
            <w:tblGrid>
              <w:gridCol w:w="1094"/>
              <w:gridCol w:w="1094"/>
              <w:gridCol w:w="1094"/>
              <w:gridCol w:w="1094"/>
              <w:gridCol w:w="1095"/>
              <w:gridCol w:w="1095"/>
            </w:tblGrid>
            <w:tr w:rsidR="001D44E6" w14:paraId="714A8484" w14:textId="77777777" w:rsidTr="00B248D3">
              <w:tc>
                <w:tcPr>
                  <w:tcW w:w="1094" w:type="dxa"/>
                  <w:shd w:val="clear" w:color="auto" w:fill="00B0F0"/>
                </w:tcPr>
                <w:p w14:paraId="209683FC" w14:textId="02AAB013" w:rsidR="001D44E6" w:rsidRDefault="001D44E6" w:rsidP="00E4573A">
                  <w:pPr>
                    <w:rPr>
                      <w:iCs/>
                      <w:lang w:val="en-US"/>
                    </w:rPr>
                  </w:pPr>
                  <w:r>
                    <w:rPr>
                      <w:iCs/>
                      <w:lang w:val="en-US"/>
                    </w:rPr>
                    <w:t>Year 1</w:t>
                  </w:r>
                </w:p>
              </w:tc>
              <w:tc>
                <w:tcPr>
                  <w:tcW w:w="1094" w:type="dxa"/>
                  <w:shd w:val="clear" w:color="auto" w:fill="00B0F0"/>
                </w:tcPr>
                <w:p w14:paraId="4952185D" w14:textId="5976D134" w:rsidR="001D44E6" w:rsidRDefault="001D44E6" w:rsidP="00E4573A">
                  <w:pPr>
                    <w:rPr>
                      <w:iCs/>
                      <w:lang w:val="en-US"/>
                    </w:rPr>
                  </w:pPr>
                  <w:r>
                    <w:rPr>
                      <w:iCs/>
                      <w:lang w:val="en-US"/>
                    </w:rPr>
                    <w:t>Year 2</w:t>
                  </w:r>
                </w:p>
              </w:tc>
              <w:tc>
                <w:tcPr>
                  <w:tcW w:w="1094" w:type="dxa"/>
                  <w:shd w:val="clear" w:color="auto" w:fill="00B0F0"/>
                </w:tcPr>
                <w:p w14:paraId="6D7D7C01" w14:textId="529D49AE" w:rsidR="001D44E6" w:rsidRDefault="001D44E6" w:rsidP="00E4573A">
                  <w:pPr>
                    <w:rPr>
                      <w:iCs/>
                      <w:lang w:val="en-US"/>
                    </w:rPr>
                  </w:pPr>
                  <w:r>
                    <w:rPr>
                      <w:iCs/>
                      <w:lang w:val="en-US"/>
                    </w:rPr>
                    <w:t>Year 3</w:t>
                  </w:r>
                </w:p>
              </w:tc>
              <w:tc>
                <w:tcPr>
                  <w:tcW w:w="1094" w:type="dxa"/>
                  <w:shd w:val="clear" w:color="auto" w:fill="00B0F0"/>
                </w:tcPr>
                <w:p w14:paraId="020B1280" w14:textId="3B2B0480" w:rsidR="001D44E6" w:rsidRDefault="001D44E6" w:rsidP="00E4573A">
                  <w:pPr>
                    <w:rPr>
                      <w:iCs/>
                      <w:lang w:val="en-US"/>
                    </w:rPr>
                  </w:pPr>
                  <w:r>
                    <w:rPr>
                      <w:iCs/>
                      <w:lang w:val="en-US"/>
                    </w:rPr>
                    <w:t>Year 4</w:t>
                  </w:r>
                </w:p>
              </w:tc>
              <w:tc>
                <w:tcPr>
                  <w:tcW w:w="1095" w:type="dxa"/>
                  <w:shd w:val="clear" w:color="auto" w:fill="00B0F0"/>
                </w:tcPr>
                <w:p w14:paraId="7DD16DC5" w14:textId="3772DC69" w:rsidR="001D44E6" w:rsidRDefault="001D44E6" w:rsidP="00E4573A">
                  <w:pPr>
                    <w:rPr>
                      <w:iCs/>
                      <w:lang w:val="en-US"/>
                    </w:rPr>
                  </w:pPr>
                  <w:r>
                    <w:rPr>
                      <w:iCs/>
                      <w:lang w:val="en-US"/>
                    </w:rPr>
                    <w:t>Year 5</w:t>
                  </w:r>
                </w:p>
              </w:tc>
              <w:tc>
                <w:tcPr>
                  <w:tcW w:w="1095" w:type="dxa"/>
                  <w:shd w:val="clear" w:color="auto" w:fill="00B0F0"/>
                </w:tcPr>
                <w:p w14:paraId="666D2463" w14:textId="57E24103" w:rsidR="001D44E6" w:rsidRDefault="001D44E6" w:rsidP="00E4573A">
                  <w:pPr>
                    <w:rPr>
                      <w:iCs/>
                      <w:lang w:val="en-US"/>
                    </w:rPr>
                  </w:pPr>
                  <w:r>
                    <w:rPr>
                      <w:iCs/>
                      <w:lang w:val="en-US"/>
                    </w:rPr>
                    <w:t xml:space="preserve">Year 6 </w:t>
                  </w:r>
                </w:p>
              </w:tc>
            </w:tr>
            <w:tr w:rsidR="001D44E6" w14:paraId="2A700EF5" w14:textId="77777777" w:rsidTr="001D44E6">
              <w:tc>
                <w:tcPr>
                  <w:tcW w:w="1094" w:type="dxa"/>
                </w:tcPr>
                <w:p w14:paraId="52CAA2FB" w14:textId="1B124BF0" w:rsidR="001D44E6" w:rsidRDefault="003A33DE" w:rsidP="00E4573A">
                  <w:pPr>
                    <w:rPr>
                      <w:iCs/>
                      <w:lang w:val="en-US"/>
                    </w:rPr>
                  </w:pPr>
                  <w:r>
                    <w:rPr>
                      <w:iCs/>
                      <w:lang w:val="en-US"/>
                    </w:rPr>
                    <w:t>1</w:t>
                  </w:r>
                  <w:r w:rsidR="00916C9F">
                    <w:rPr>
                      <w:iCs/>
                      <w:lang w:val="en-US"/>
                    </w:rPr>
                    <w:t>1</w:t>
                  </w:r>
                </w:p>
              </w:tc>
              <w:tc>
                <w:tcPr>
                  <w:tcW w:w="1094" w:type="dxa"/>
                </w:tcPr>
                <w:p w14:paraId="42DB47BB" w14:textId="3D5AD10C" w:rsidR="001D44E6" w:rsidRDefault="00BC5CEE" w:rsidP="00E4573A">
                  <w:pPr>
                    <w:rPr>
                      <w:iCs/>
                      <w:lang w:val="en-US"/>
                    </w:rPr>
                  </w:pPr>
                  <w:r>
                    <w:rPr>
                      <w:iCs/>
                      <w:lang w:val="en-US"/>
                    </w:rPr>
                    <w:t>4</w:t>
                  </w:r>
                </w:p>
              </w:tc>
              <w:tc>
                <w:tcPr>
                  <w:tcW w:w="1094" w:type="dxa"/>
                </w:tcPr>
                <w:p w14:paraId="715BB4E3" w14:textId="6BF473D2" w:rsidR="001D44E6" w:rsidRDefault="00BA34A9" w:rsidP="00E4573A">
                  <w:pPr>
                    <w:rPr>
                      <w:iCs/>
                      <w:lang w:val="en-US"/>
                    </w:rPr>
                  </w:pPr>
                  <w:r>
                    <w:rPr>
                      <w:iCs/>
                      <w:lang w:val="en-US"/>
                    </w:rPr>
                    <w:t>1</w:t>
                  </w:r>
                  <w:r w:rsidR="00916C9F">
                    <w:rPr>
                      <w:iCs/>
                      <w:lang w:val="en-US"/>
                    </w:rPr>
                    <w:t>5</w:t>
                  </w:r>
                </w:p>
              </w:tc>
              <w:tc>
                <w:tcPr>
                  <w:tcW w:w="1094" w:type="dxa"/>
                </w:tcPr>
                <w:p w14:paraId="66374E24" w14:textId="73D3B289" w:rsidR="001D44E6" w:rsidRDefault="003C79D6" w:rsidP="00E4573A">
                  <w:pPr>
                    <w:rPr>
                      <w:iCs/>
                      <w:lang w:val="en-US"/>
                    </w:rPr>
                  </w:pPr>
                  <w:r>
                    <w:rPr>
                      <w:iCs/>
                      <w:lang w:val="en-US"/>
                    </w:rPr>
                    <w:t>11</w:t>
                  </w:r>
                </w:p>
              </w:tc>
              <w:tc>
                <w:tcPr>
                  <w:tcW w:w="1095" w:type="dxa"/>
                </w:tcPr>
                <w:p w14:paraId="72BDA7A5" w14:textId="7D72C45E" w:rsidR="001D44E6" w:rsidRDefault="00916C9F" w:rsidP="00E4573A">
                  <w:pPr>
                    <w:rPr>
                      <w:iCs/>
                      <w:lang w:val="en-US"/>
                    </w:rPr>
                  </w:pPr>
                  <w:r>
                    <w:rPr>
                      <w:iCs/>
                      <w:lang w:val="en-US"/>
                    </w:rPr>
                    <w:t>5</w:t>
                  </w:r>
                </w:p>
              </w:tc>
              <w:tc>
                <w:tcPr>
                  <w:tcW w:w="1095" w:type="dxa"/>
                </w:tcPr>
                <w:p w14:paraId="70D56CB5" w14:textId="75E35F0D" w:rsidR="001D44E6" w:rsidRDefault="00494C97" w:rsidP="00E4573A">
                  <w:pPr>
                    <w:rPr>
                      <w:iCs/>
                      <w:lang w:val="en-US"/>
                    </w:rPr>
                  </w:pPr>
                  <w:r>
                    <w:rPr>
                      <w:iCs/>
                      <w:lang w:val="en-US"/>
                    </w:rPr>
                    <w:t>1</w:t>
                  </w:r>
                  <w:r w:rsidR="003C79D6">
                    <w:rPr>
                      <w:iCs/>
                      <w:lang w:val="en-US"/>
                    </w:rPr>
                    <w:t>2</w:t>
                  </w:r>
                </w:p>
              </w:tc>
            </w:tr>
            <w:tr w:rsidR="00A76ECA" w14:paraId="3C718095" w14:textId="77777777" w:rsidTr="001D44E6">
              <w:tc>
                <w:tcPr>
                  <w:tcW w:w="1094" w:type="dxa"/>
                </w:tcPr>
                <w:p w14:paraId="6DEEEFAA" w14:textId="77777777" w:rsidR="00A76ECA" w:rsidRDefault="00A76ECA" w:rsidP="00E4573A">
                  <w:pPr>
                    <w:rPr>
                      <w:iCs/>
                      <w:lang w:val="en-US"/>
                    </w:rPr>
                  </w:pPr>
                </w:p>
                <w:p w14:paraId="32573758" w14:textId="77777777" w:rsidR="00A76ECA" w:rsidRDefault="00A76ECA" w:rsidP="00E4573A">
                  <w:pPr>
                    <w:rPr>
                      <w:iCs/>
                      <w:lang w:val="en-US"/>
                    </w:rPr>
                  </w:pPr>
                </w:p>
                <w:p w14:paraId="438547F4" w14:textId="77777777" w:rsidR="00A76ECA" w:rsidRDefault="00A76ECA" w:rsidP="00E4573A">
                  <w:pPr>
                    <w:rPr>
                      <w:iCs/>
                      <w:lang w:val="en-US"/>
                    </w:rPr>
                  </w:pPr>
                </w:p>
                <w:p w14:paraId="032DAE39" w14:textId="56F3014A" w:rsidR="00A76ECA" w:rsidRDefault="00A76ECA" w:rsidP="00E4573A">
                  <w:pPr>
                    <w:rPr>
                      <w:iCs/>
                      <w:lang w:val="en-US"/>
                    </w:rPr>
                  </w:pPr>
                </w:p>
              </w:tc>
              <w:tc>
                <w:tcPr>
                  <w:tcW w:w="1094" w:type="dxa"/>
                </w:tcPr>
                <w:p w14:paraId="0A818545" w14:textId="77777777" w:rsidR="00A76ECA" w:rsidRDefault="00A76ECA" w:rsidP="00E4573A">
                  <w:pPr>
                    <w:rPr>
                      <w:iCs/>
                      <w:lang w:val="en-US"/>
                    </w:rPr>
                  </w:pPr>
                </w:p>
              </w:tc>
              <w:tc>
                <w:tcPr>
                  <w:tcW w:w="1094" w:type="dxa"/>
                </w:tcPr>
                <w:p w14:paraId="25E26344" w14:textId="77777777" w:rsidR="00A76ECA" w:rsidRDefault="00A76ECA" w:rsidP="00E4573A">
                  <w:pPr>
                    <w:rPr>
                      <w:iCs/>
                      <w:lang w:val="en-US"/>
                    </w:rPr>
                  </w:pPr>
                </w:p>
              </w:tc>
              <w:tc>
                <w:tcPr>
                  <w:tcW w:w="1094" w:type="dxa"/>
                </w:tcPr>
                <w:p w14:paraId="7906DED6" w14:textId="77777777" w:rsidR="00A76ECA" w:rsidRDefault="00A76ECA" w:rsidP="00E4573A">
                  <w:pPr>
                    <w:rPr>
                      <w:iCs/>
                      <w:lang w:val="en-US"/>
                    </w:rPr>
                  </w:pPr>
                </w:p>
              </w:tc>
              <w:tc>
                <w:tcPr>
                  <w:tcW w:w="1095" w:type="dxa"/>
                </w:tcPr>
                <w:p w14:paraId="179FC313" w14:textId="77777777" w:rsidR="00A76ECA" w:rsidRDefault="00A76ECA" w:rsidP="00E4573A">
                  <w:pPr>
                    <w:rPr>
                      <w:iCs/>
                      <w:lang w:val="en-US"/>
                    </w:rPr>
                  </w:pPr>
                </w:p>
              </w:tc>
              <w:tc>
                <w:tcPr>
                  <w:tcW w:w="1095" w:type="dxa"/>
                </w:tcPr>
                <w:p w14:paraId="670B6D6B" w14:textId="77777777" w:rsidR="00A76ECA" w:rsidRDefault="00A76ECA" w:rsidP="00E4573A">
                  <w:pPr>
                    <w:rPr>
                      <w:iCs/>
                      <w:lang w:val="en-US"/>
                    </w:rPr>
                  </w:pPr>
                </w:p>
              </w:tc>
            </w:tr>
          </w:tbl>
          <w:p w14:paraId="4DED27BA" w14:textId="21B5379D" w:rsidR="005D292C" w:rsidRPr="00E4573A" w:rsidRDefault="005D292C" w:rsidP="00E4573A">
            <w:pPr>
              <w:rPr>
                <w:iCs/>
                <w:lang w:val="en-US"/>
              </w:rPr>
            </w:pPr>
          </w:p>
        </w:tc>
      </w:tr>
      <w:tr w:rsidR="00E4573A" w:rsidRPr="0098212C" w14:paraId="64926985" w14:textId="77777777" w:rsidTr="001F5790">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E5D914" w14:textId="77777777" w:rsidR="00E4573A" w:rsidRDefault="00E4573A" w:rsidP="0098212C">
            <w:r>
              <w:t>9</w:t>
            </w:r>
          </w:p>
        </w:tc>
        <w:tc>
          <w:tcPr>
            <w:tcW w:w="78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C5B3E0" w14:textId="77777777" w:rsidR="00E4573A" w:rsidRPr="00E4573A" w:rsidRDefault="00E4573A" w:rsidP="00E4573A">
            <w:pPr>
              <w:rPr>
                <w:iCs/>
                <w:lang w:val="en-US"/>
              </w:rPr>
            </w:pPr>
            <w:r w:rsidRPr="00E4573A">
              <w:rPr>
                <w:iCs/>
                <w:lang w:val="en-US"/>
              </w:rPr>
              <w:t xml:space="preserve">Family and Community - Discussions with families/individual parents highlights the effect of the pandemic </w:t>
            </w:r>
            <w:r w:rsidR="002F46E4">
              <w:rPr>
                <w:iCs/>
                <w:lang w:val="en-US"/>
              </w:rPr>
              <w:t xml:space="preserve">and current cost of living crisis </w:t>
            </w:r>
            <w:r w:rsidRPr="00E4573A">
              <w:rPr>
                <w:iCs/>
                <w:lang w:val="en-US"/>
              </w:rPr>
              <w:t>on personal wellbeing, financial well-being and stability.</w:t>
            </w:r>
          </w:p>
        </w:tc>
      </w:tr>
    </w:tbl>
    <w:p w14:paraId="5FE708A7" w14:textId="77777777" w:rsidR="00C074AE" w:rsidRDefault="00C074AE" w:rsidP="0098212C">
      <w:pPr>
        <w:rPr>
          <w:b/>
        </w:rPr>
      </w:pPr>
    </w:p>
    <w:p w14:paraId="538CD0FA" w14:textId="77777777" w:rsidR="00A76ECA" w:rsidRDefault="00A76ECA" w:rsidP="0098212C">
      <w:pPr>
        <w:rPr>
          <w:b/>
          <w:sz w:val="32"/>
          <w:szCs w:val="32"/>
        </w:rPr>
      </w:pPr>
    </w:p>
    <w:p w14:paraId="338C23A5" w14:textId="77777777" w:rsidR="00A76ECA" w:rsidRDefault="00A76ECA" w:rsidP="0098212C">
      <w:pPr>
        <w:rPr>
          <w:b/>
          <w:sz w:val="32"/>
          <w:szCs w:val="32"/>
        </w:rPr>
      </w:pPr>
    </w:p>
    <w:p w14:paraId="3D43D9BE" w14:textId="2240435D" w:rsidR="0098212C" w:rsidRPr="00A76ECA" w:rsidRDefault="0098212C" w:rsidP="0098212C">
      <w:pPr>
        <w:rPr>
          <w:b/>
          <w:sz w:val="32"/>
          <w:szCs w:val="32"/>
        </w:rPr>
      </w:pPr>
      <w:r w:rsidRPr="00A76ECA">
        <w:rPr>
          <w:b/>
          <w:sz w:val="32"/>
          <w:szCs w:val="32"/>
        </w:rPr>
        <w:t xml:space="preserve">Intended outcomes </w:t>
      </w:r>
    </w:p>
    <w:p w14:paraId="6F051727" w14:textId="77777777" w:rsidR="0098212C" w:rsidRPr="0098212C" w:rsidRDefault="0098212C" w:rsidP="0098212C">
      <w:r w:rsidRPr="0098212C">
        <w:t xml:space="preserve">This explains the outcomes we are aiming for </w:t>
      </w:r>
      <w:r w:rsidRPr="0098212C">
        <w:rPr>
          <w:b/>
          <w:bCs/>
        </w:rPr>
        <w:t>by the end of our current strategy plan</w:t>
      </w:r>
      <w:r w:rsidRPr="0098212C">
        <w:t>, and how we will measure whether they have been achieved.</w:t>
      </w:r>
    </w:p>
    <w:tbl>
      <w:tblPr>
        <w:tblW w:w="5054" w:type="pct"/>
        <w:tblInd w:w="-98" w:type="dxa"/>
        <w:tblCellMar>
          <w:left w:w="10" w:type="dxa"/>
          <w:right w:w="10" w:type="dxa"/>
        </w:tblCellMar>
        <w:tblLook w:val="04A0" w:firstRow="1" w:lastRow="0" w:firstColumn="1" w:lastColumn="0" w:noHBand="0" w:noVBand="1"/>
      </w:tblPr>
      <w:tblGrid>
        <w:gridCol w:w="1830"/>
        <w:gridCol w:w="2400"/>
        <w:gridCol w:w="4883"/>
      </w:tblGrid>
      <w:tr w:rsidR="00F70210" w:rsidRPr="0098212C" w14:paraId="601BAD92" w14:textId="77777777" w:rsidTr="00F70210">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Pr>
          <w:p w14:paraId="164A7FEC" w14:textId="78CFABF5" w:rsidR="00F70210" w:rsidRPr="0098212C" w:rsidRDefault="00F70210" w:rsidP="0098212C">
            <w:pPr>
              <w:rPr>
                <w:b/>
              </w:rPr>
            </w:pPr>
            <w:r>
              <w:rPr>
                <w:b/>
              </w:rPr>
              <w:t xml:space="preserve"> Challenge number</w:t>
            </w:r>
          </w:p>
        </w:tc>
        <w:tc>
          <w:tcPr>
            <w:tcW w:w="2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315617CC" w14:textId="6E0A256C" w:rsidR="00F70210" w:rsidRPr="0098212C" w:rsidRDefault="00F70210" w:rsidP="0098212C">
            <w:pPr>
              <w:rPr>
                <w:b/>
              </w:rPr>
            </w:pPr>
            <w:r w:rsidRPr="0098212C">
              <w:rPr>
                <w:b/>
              </w:rPr>
              <w:t>Intended outcome</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4EDBC4DA" w14:textId="77777777" w:rsidR="00F70210" w:rsidRPr="0098212C" w:rsidRDefault="00F70210" w:rsidP="0098212C">
            <w:pPr>
              <w:rPr>
                <w:b/>
              </w:rPr>
            </w:pPr>
            <w:r w:rsidRPr="0098212C">
              <w:rPr>
                <w:b/>
              </w:rPr>
              <w:t>Success criteria</w:t>
            </w:r>
          </w:p>
        </w:tc>
      </w:tr>
      <w:tr w:rsidR="00F70210" w:rsidRPr="0098212C" w14:paraId="45E84697" w14:textId="77777777" w:rsidTr="00F70210">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82288F" w14:textId="5204D71B" w:rsidR="00F70210" w:rsidRPr="0098212C" w:rsidRDefault="00F70210" w:rsidP="00F70210">
            <w:r>
              <w:t xml:space="preserve">  1</w:t>
            </w:r>
          </w:p>
        </w:tc>
        <w:tc>
          <w:tcPr>
            <w:tcW w:w="2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DE93BB" w14:textId="742ADA66" w:rsidR="00F70210" w:rsidRPr="0098212C" w:rsidRDefault="00F70210" w:rsidP="00416971">
            <w:r w:rsidRPr="0098212C">
              <w:t xml:space="preserve">Improved </w:t>
            </w:r>
            <w:r w:rsidR="00416971" w:rsidRPr="008248D7">
              <w:t>early</w:t>
            </w:r>
            <w:r w:rsidRPr="0098212C">
              <w:t xml:space="preserve"> language skills and vocabulary among disadvantaged pupils. </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D630AC" w14:textId="5685F6A0" w:rsidR="00F70210" w:rsidRDefault="00F70210" w:rsidP="0098212C">
            <w:r w:rsidRPr="00C074AE">
              <w:t>Impact of the NE</w:t>
            </w:r>
            <w:r>
              <w:t xml:space="preserve">LI programme </w:t>
            </w:r>
            <w:r w:rsidRPr="00C074AE">
              <w:t>demonstrate</w:t>
            </w:r>
            <w:r>
              <w:t>s</w:t>
            </w:r>
            <w:r w:rsidRPr="00C074AE">
              <w:t xml:space="preserve"> improved </w:t>
            </w:r>
            <w:r w:rsidRPr="008248D7">
              <w:t>early</w:t>
            </w:r>
            <w:r w:rsidRPr="00C074AE">
              <w:t xml:space="preserve"> language skills.</w:t>
            </w:r>
          </w:p>
          <w:p w14:paraId="5515F1C0" w14:textId="77777777" w:rsidR="00F70210" w:rsidRPr="0098212C" w:rsidRDefault="00F70210" w:rsidP="0098212C">
            <w:r w:rsidRPr="0098212C">
              <w:t xml:space="preserve">Assessments and observations indicate significantly improved oral language among disadvantaged pupils. This is evident when triangulated with other sources of </w:t>
            </w:r>
            <w:r>
              <w:t xml:space="preserve">school improvement </w:t>
            </w:r>
            <w:r w:rsidRPr="0098212C">
              <w:t>evidence, including engagement in lessons, book scrutiny and ongoing formative assessment.</w:t>
            </w:r>
          </w:p>
        </w:tc>
      </w:tr>
      <w:tr w:rsidR="00F70210" w:rsidRPr="0098212C" w14:paraId="40A3CB52" w14:textId="77777777" w:rsidTr="00F70210">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A56A3D" w14:textId="1EBCFF73" w:rsidR="00F70210" w:rsidRDefault="00F70210" w:rsidP="00C074AE">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  2</w:t>
            </w:r>
          </w:p>
        </w:tc>
        <w:tc>
          <w:tcPr>
            <w:tcW w:w="2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tbl>
            <w:tblPr>
              <w:tblW w:w="0" w:type="auto"/>
              <w:tblBorders>
                <w:top w:val="nil"/>
                <w:left w:val="nil"/>
                <w:bottom w:val="nil"/>
                <w:right w:val="nil"/>
              </w:tblBorders>
              <w:tblLook w:val="0000" w:firstRow="0" w:lastRow="0" w:firstColumn="0" w:lastColumn="0" w:noHBand="0" w:noVBand="0"/>
            </w:tblPr>
            <w:tblGrid>
              <w:gridCol w:w="1962"/>
              <w:gridCol w:w="222"/>
            </w:tblGrid>
            <w:tr w:rsidR="00F70210" w:rsidRPr="00C074AE" w14:paraId="5E4AD155" w14:textId="77777777">
              <w:trPr>
                <w:trHeight w:val="1481"/>
              </w:trPr>
              <w:tc>
                <w:tcPr>
                  <w:tcW w:w="0" w:type="auto"/>
                </w:tcPr>
                <w:p w14:paraId="7AE8E1A6" w14:textId="365AE239" w:rsidR="00F70210" w:rsidRPr="00C074AE" w:rsidRDefault="00F70210" w:rsidP="00C074AE">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I</w:t>
                  </w:r>
                  <w:r w:rsidRPr="00C074AE">
                    <w:rPr>
                      <w:rFonts w:ascii="Calibri" w:hAnsi="Calibri" w:cs="Calibri"/>
                      <w:color w:val="000000"/>
                      <w:sz w:val="23"/>
                      <w:szCs w:val="23"/>
                    </w:rPr>
                    <w:t>mprove</w:t>
                  </w:r>
                  <w:r>
                    <w:rPr>
                      <w:rFonts w:ascii="Calibri" w:hAnsi="Calibri" w:cs="Calibri"/>
                      <w:color w:val="000000"/>
                      <w:sz w:val="23"/>
                      <w:szCs w:val="23"/>
                    </w:rPr>
                    <w:t>d</w:t>
                  </w:r>
                  <w:r w:rsidRPr="00C074AE">
                    <w:rPr>
                      <w:rFonts w:ascii="Calibri" w:hAnsi="Calibri" w:cs="Calibri"/>
                      <w:color w:val="000000"/>
                      <w:sz w:val="23"/>
                      <w:szCs w:val="23"/>
                    </w:rPr>
                    <w:t xml:space="preserve"> phonic skills to en</w:t>
                  </w:r>
                  <w:r>
                    <w:rPr>
                      <w:rFonts w:ascii="Calibri" w:hAnsi="Calibri" w:cs="Calibri"/>
                      <w:color w:val="000000"/>
                      <w:sz w:val="23"/>
                      <w:szCs w:val="23"/>
                    </w:rPr>
                    <w:t xml:space="preserve">sure attainment and progress in reading is sustained </w:t>
                  </w:r>
                  <w:r w:rsidRPr="00C074AE">
                    <w:rPr>
                      <w:rFonts w:ascii="Calibri" w:hAnsi="Calibri" w:cs="Calibri"/>
                      <w:color w:val="000000"/>
                      <w:sz w:val="23"/>
                      <w:szCs w:val="23"/>
                    </w:rPr>
                    <w:t xml:space="preserve"> </w:t>
                  </w:r>
                </w:p>
              </w:tc>
              <w:tc>
                <w:tcPr>
                  <w:tcW w:w="0" w:type="auto"/>
                </w:tcPr>
                <w:p w14:paraId="5325927E" w14:textId="77777777" w:rsidR="00F70210" w:rsidRPr="00C074AE" w:rsidRDefault="00F70210" w:rsidP="00C074AE">
                  <w:pPr>
                    <w:autoSpaceDE w:val="0"/>
                    <w:autoSpaceDN w:val="0"/>
                    <w:adjustRightInd w:val="0"/>
                    <w:spacing w:after="0" w:line="240" w:lineRule="auto"/>
                    <w:rPr>
                      <w:rFonts w:ascii="Calibri" w:hAnsi="Calibri"/>
                      <w:sz w:val="24"/>
                      <w:szCs w:val="24"/>
                    </w:rPr>
                  </w:pPr>
                </w:p>
                <w:p w14:paraId="6371C8E8" w14:textId="77777777" w:rsidR="00F70210" w:rsidRPr="00C074AE" w:rsidRDefault="00F70210" w:rsidP="00C074AE">
                  <w:pPr>
                    <w:autoSpaceDE w:val="0"/>
                    <w:autoSpaceDN w:val="0"/>
                    <w:adjustRightInd w:val="0"/>
                    <w:spacing w:after="0" w:line="240" w:lineRule="auto"/>
                    <w:rPr>
                      <w:rFonts w:ascii="Calibri" w:hAnsi="Calibri" w:cs="Calibri"/>
                      <w:color w:val="000000"/>
                      <w:sz w:val="23"/>
                      <w:szCs w:val="23"/>
                    </w:rPr>
                  </w:pPr>
                  <w:r w:rsidRPr="00C074AE">
                    <w:rPr>
                      <w:rFonts w:ascii="Calibri" w:hAnsi="Calibri" w:cs="Calibri"/>
                      <w:color w:val="000000"/>
                      <w:sz w:val="23"/>
                      <w:szCs w:val="23"/>
                    </w:rPr>
                    <w:t xml:space="preserve"> </w:t>
                  </w:r>
                </w:p>
                <w:p w14:paraId="1F356405" w14:textId="77777777" w:rsidR="00F70210" w:rsidRPr="00C074AE" w:rsidRDefault="00F70210" w:rsidP="00C074AE">
                  <w:pPr>
                    <w:autoSpaceDE w:val="0"/>
                    <w:autoSpaceDN w:val="0"/>
                    <w:adjustRightInd w:val="0"/>
                    <w:spacing w:after="0" w:line="240" w:lineRule="auto"/>
                    <w:rPr>
                      <w:rFonts w:ascii="Calibri" w:hAnsi="Calibri" w:cs="Calibri"/>
                      <w:color w:val="000000"/>
                      <w:sz w:val="23"/>
                      <w:szCs w:val="23"/>
                    </w:rPr>
                  </w:pPr>
                </w:p>
              </w:tc>
            </w:tr>
          </w:tbl>
          <w:p w14:paraId="774D8896" w14:textId="77777777" w:rsidR="00F70210" w:rsidRPr="0098212C" w:rsidRDefault="00F70210" w:rsidP="0098212C"/>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7DD31B" w14:textId="35A9FCB6" w:rsidR="00F70210" w:rsidRDefault="00F70210" w:rsidP="00C074AE">
            <w:r>
              <w:t xml:space="preserve">Impact of the NELI programme demonstrates improved </w:t>
            </w:r>
            <w:r w:rsidRPr="008248D7">
              <w:t>early</w:t>
            </w:r>
            <w:r>
              <w:t xml:space="preserve"> language skills. </w:t>
            </w:r>
          </w:p>
          <w:p w14:paraId="1A18B350" w14:textId="77777777" w:rsidR="00F70210" w:rsidRPr="00C074AE" w:rsidRDefault="00F70210" w:rsidP="00C074AE">
            <w:r>
              <w:t>Impact of staff CPD and partnership with the English Hub to ensure effective delivery of the RWI phonics and spelling programmes will be visible in triangulation of school improvement evidence, phonic screening check outcomes and end of KS2 outcomes</w:t>
            </w:r>
          </w:p>
        </w:tc>
      </w:tr>
      <w:tr w:rsidR="00F70210" w:rsidRPr="0098212C" w14:paraId="075A7118" w14:textId="77777777" w:rsidTr="00F70210">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1C2C6D" w14:textId="53A0B40B" w:rsidR="00F70210" w:rsidRPr="0098212C" w:rsidRDefault="00F70210" w:rsidP="0098212C">
            <w:r>
              <w:t xml:space="preserve">  3</w:t>
            </w:r>
          </w:p>
        </w:tc>
        <w:tc>
          <w:tcPr>
            <w:tcW w:w="2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161C50" w14:textId="7FE99593" w:rsidR="00F70210" w:rsidRPr="0098212C" w:rsidRDefault="00F70210" w:rsidP="0098212C">
            <w:r w:rsidRPr="0098212C">
              <w:t xml:space="preserve">Improved maths attainment </w:t>
            </w:r>
            <w:r>
              <w:t xml:space="preserve">and progress measures </w:t>
            </w:r>
            <w:r w:rsidRPr="0098212C">
              <w:t xml:space="preserve">for disadvantaged pupils at the end of KS2. </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8C160D" w14:textId="77777777" w:rsidR="00F70210" w:rsidRDefault="00F70210" w:rsidP="00FB1CD9">
            <w:r>
              <w:t xml:space="preserve">Effective use of pupil premium funding will be visible; PPM evidence, school improvement triangulation. This will be demonstrated during all aspects of teaching and learning, including intervention teachers/leaders who will use evidence-based teaching interventions (EEF) to ensure our track record of children making rapid progress continues. </w:t>
            </w:r>
          </w:p>
          <w:p w14:paraId="2C48FE8F" w14:textId="5436ECBA" w:rsidR="00F70210" w:rsidRPr="00B02E4D" w:rsidRDefault="00F70210" w:rsidP="0098212C">
            <w:r w:rsidRPr="0098212C">
              <w:t xml:space="preserve">KS2 maths outcomes in 2024/25 </w:t>
            </w:r>
            <w:r>
              <w:t xml:space="preserve">will demonstrate that </w:t>
            </w:r>
            <w:r w:rsidRPr="0098212C">
              <w:t>disadvantaged pupils me</w:t>
            </w:r>
            <w:r>
              <w:t xml:space="preserve">et </w:t>
            </w:r>
            <w:r w:rsidRPr="0098212C">
              <w:t>the expected standard</w:t>
            </w:r>
            <w:r>
              <w:t xml:space="preserve"> in line with the positive outcomes of 2019 (81%) and make better than expected progress. </w:t>
            </w:r>
          </w:p>
        </w:tc>
      </w:tr>
      <w:tr w:rsidR="00F70210" w:rsidRPr="0098212C" w14:paraId="40F3C5C7" w14:textId="77777777" w:rsidTr="00F70210">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96F5FE" w14:textId="5727FEF5" w:rsidR="00F70210" w:rsidRPr="0098212C" w:rsidRDefault="00F70210" w:rsidP="0098212C">
            <w:r>
              <w:lastRenderedPageBreak/>
              <w:t xml:space="preserve">  4</w:t>
            </w:r>
          </w:p>
        </w:tc>
        <w:tc>
          <w:tcPr>
            <w:tcW w:w="2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BBD8A9" w14:textId="36E12D63" w:rsidR="00F70210" w:rsidRPr="0098212C" w:rsidRDefault="00F70210" w:rsidP="0098212C">
            <w:r w:rsidRPr="0098212C">
              <w:t xml:space="preserve">Improved reading attainment among disadvantaged pupils. </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73BD5C" w14:textId="77777777" w:rsidR="00F70210" w:rsidRDefault="00F70210" w:rsidP="0098212C">
            <w:r w:rsidRPr="00B02E4D">
              <w:t xml:space="preserve">Effective use of </w:t>
            </w:r>
            <w:r>
              <w:t xml:space="preserve">pupil premium and </w:t>
            </w:r>
            <w:r w:rsidRPr="00B02E4D">
              <w:t xml:space="preserve">government </w:t>
            </w:r>
            <w:r>
              <w:t xml:space="preserve">recovery premium funding </w:t>
            </w:r>
            <w:r w:rsidRPr="00B02E4D">
              <w:t xml:space="preserve">will be visible; PPM evidence, school improvement triangulation. This will be demonstrated during all aspects of teaching and learning, including intervention teachers/leaders who </w:t>
            </w:r>
            <w:r>
              <w:t>will</w:t>
            </w:r>
            <w:r w:rsidRPr="00B02E4D">
              <w:t xml:space="preserve"> use evidence-based teaching interventions (EEF) to ensure our </w:t>
            </w:r>
            <w:r>
              <w:t xml:space="preserve">previous </w:t>
            </w:r>
            <w:r w:rsidRPr="00B02E4D">
              <w:t xml:space="preserve">track record of </w:t>
            </w:r>
            <w:r>
              <w:t>pupils making rapid progress is obvious.</w:t>
            </w:r>
          </w:p>
          <w:p w14:paraId="263456D4" w14:textId="77777777" w:rsidR="00F70210" w:rsidRPr="0098212C" w:rsidRDefault="00F70210" w:rsidP="002F46E4">
            <w:r>
              <w:t xml:space="preserve">KS2 reading outcomes in 2024/25 will demonstrate that </w:t>
            </w:r>
            <w:r w:rsidRPr="0098212C">
              <w:t>disadvantaged pupils me</w:t>
            </w:r>
            <w:r>
              <w:t>e</w:t>
            </w:r>
            <w:r w:rsidRPr="0098212C">
              <w:t>t</w:t>
            </w:r>
            <w:r>
              <w:t>/surpass</w:t>
            </w:r>
            <w:r w:rsidRPr="0098212C">
              <w:t xml:space="preserve"> the expected standard</w:t>
            </w:r>
            <w:r>
              <w:t xml:space="preserve"> in line with the positive outcomes of 2019 (84%)</w:t>
            </w:r>
          </w:p>
        </w:tc>
      </w:tr>
      <w:tr w:rsidR="00F70210" w:rsidRPr="0098212C" w14:paraId="0A6C48A1" w14:textId="77777777" w:rsidTr="00F70210">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2BA23" w14:textId="346CEB99" w:rsidR="00F70210" w:rsidRDefault="00F70210" w:rsidP="00B02E4D">
            <w:r>
              <w:t xml:space="preserve">  4</w:t>
            </w:r>
          </w:p>
        </w:tc>
        <w:tc>
          <w:tcPr>
            <w:tcW w:w="2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21C0A5" w14:textId="756818F7" w:rsidR="00F70210" w:rsidRDefault="00F70210" w:rsidP="00B02E4D">
            <w:r>
              <w:t>Ensure that all children with complex needs achieve their potential in the widest sense</w:t>
            </w:r>
          </w:p>
          <w:p w14:paraId="53E839EE" w14:textId="77777777" w:rsidR="00F70210" w:rsidRPr="0098212C" w:rsidRDefault="00F70210" w:rsidP="00B02E4D"/>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033DF3" w14:textId="2B0982E7" w:rsidR="00F70210" w:rsidRDefault="00F70210" w:rsidP="00425B76">
            <w:r w:rsidRPr="00B02E4D">
              <w:t>Observations, external reports and assessments will indicate and evidence that children joining us at the various points during the year</w:t>
            </w:r>
            <w:r>
              <w:t>, including pupils</w:t>
            </w:r>
            <w:r w:rsidRPr="00B02E4D">
              <w:t xml:space="preserve"> with the most complex needs</w:t>
            </w:r>
            <w:r>
              <w:t xml:space="preserve">, </w:t>
            </w:r>
            <w:r w:rsidRPr="00B02E4D">
              <w:t xml:space="preserve">continue to make accelerated progress and achieve </w:t>
            </w:r>
            <w:r>
              <w:t>well from their individual starting points</w:t>
            </w:r>
            <w:r w:rsidRPr="00B02E4D">
              <w:t>.</w:t>
            </w:r>
          </w:p>
        </w:tc>
      </w:tr>
      <w:tr w:rsidR="00F70210" w:rsidRPr="0098212C" w14:paraId="49F11C0E" w14:textId="77777777" w:rsidTr="00F70210">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838105" w14:textId="6265DEBB" w:rsidR="00F70210" w:rsidRDefault="00F70210" w:rsidP="00B02E4D">
            <w:r>
              <w:t xml:space="preserve">  5/8</w:t>
            </w:r>
          </w:p>
        </w:tc>
        <w:tc>
          <w:tcPr>
            <w:tcW w:w="2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2B088D" w14:textId="58FB94AC" w:rsidR="00F70210" w:rsidRDefault="00F70210" w:rsidP="00B02E4D">
            <w:r>
              <w:t>Sustain the externally recognised and validated high quality provision and practice for children with SEMH ensuring steps of progress, attainment and achievement by all.</w:t>
            </w:r>
          </w:p>
          <w:p w14:paraId="48F3EEAD" w14:textId="77777777" w:rsidR="00F70210" w:rsidRDefault="00F70210" w:rsidP="00B02E4D"/>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183A97" w14:textId="77777777" w:rsidR="00F70210" w:rsidRDefault="00F70210" w:rsidP="00B02E4D">
            <w:r>
              <w:t>Our commitment to ensuring our work to effectively provision map bespoke programmes of specialist support for our most vulnerable children will continue to be recognised and externally validated by Educational Psychologists and LA Senior Specialist Learning Support Officers.</w:t>
            </w:r>
          </w:p>
          <w:p w14:paraId="298C813B" w14:textId="77777777" w:rsidR="00F70210" w:rsidRDefault="00F70210" w:rsidP="00B02E4D">
            <w:r>
              <w:t>Assessment data will demonstrate progress.</w:t>
            </w:r>
          </w:p>
          <w:p w14:paraId="0E468E20" w14:textId="77777777" w:rsidR="00F70210" w:rsidRDefault="00F70210" w:rsidP="00B02E4D">
            <w:r>
              <w:t>The impact of our continued priority to focus on sustaining the emotional health, mental health and well -being of all: Breakfast Club, Nurture groups, SEMH support, Forest School, ASC’s, Residential visits, visits, Music /performance opportunities will be visible; improved behaviour and attitudes to learning, social and emotional well-being, mental health and well-being, improved/sustained academic achievement</w:t>
            </w:r>
          </w:p>
          <w:p w14:paraId="43C7255C" w14:textId="77777777" w:rsidR="00F70210" w:rsidRPr="00B02E4D" w:rsidRDefault="00F70210" w:rsidP="00B02E4D">
            <w:r>
              <w:t xml:space="preserve">Improved life skills, confidence, self -esteem and aspiration – increase opportunities to </w:t>
            </w:r>
            <w:proofErr w:type="gramStart"/>
            <w:r>
              <w:t>experience  aspiration</w:t>
            </w:r>
            <w:proofErr w:type="gramEnd"/>
            <w:r>
              <w:t xml:space="preserve"> via Primary Futures workshops, opportunities to learn to play instruments , learn </w:t>
            </w:r>
            <w:r>
              <w:lastRenderedPageBreak/>
              <w:t>languages, visit theatres, museums, gallery’s, various localities</w:t>
            </w:r>
          </w:p>
        </w:tc>
      </w:tr>
      <w:tr w:rsidR="00F70210" w:rsidRPr="0098212C" w14:paraId="3D54783C" w14:textId="77777777" w:rsidTr="00F70210">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55BF95" w14:textId="08059376" w:rsidR="00F70210" w:rsidRPr="0098212C" w:rsidRDefault="00F70210" w:rsidP="0098212C">
            <w:r>
              <w:lastRenderedPageBreak/>
              <w:t xml:space="preserve">  6/7</w:t>
            </w:r>
          </w:p>
        </w:tc>
        <w:tc>
          <w:tcPr>
            <w:tcW w:w="2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22340F" w14:textId="3714E303" w:rsidR="00F70210" w:rsidRPr="0098212C" w:rsidRDefault="00F70210" w:rsidP="0098212C">
            <w:r w:rsidRPr="0098212C">
              <w:t>To achieve and sustain improved attendance for all pupils, particularly our disadvantaged pupils.</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33D859" w14:textId="77777777" w:rsidR="00F70210" w:rsidRPr="0098212C" w:rsidRDefault="00F70210" w:rsidP="0098212C">
            <w:r w:rsidRPr="0098212C">
              <w:t>Sustained high attendance by 2024/25 demonstrated by:</w:t>
            </w:r>
          </w:p>
          <w:p w14:paraId="6EFFBCD0" w14:textId="77777777" w:rsidR="00F70210" w:rsidRPr="00E04E99" w:rsidRDefault="00F70210" w:rsidP="0098212C">
            <w:pPr>
              <w:numPr>
                <w:ilvl w:val="0"/>
                <w:numId w:val="3"/>
              </w:numPr>
            </w:pPr>
            <w:r w:rsidRPr="00E04E99">
              <w:t>attendance data, in line with national attendance data</w:t>
            </w:r>
          </w:p>
          <w:p w14:paraId="63FB5E10" w14:textId="77777777" w:rsidR="00F70210" w:rsidRPr="0098212C" w:rsidRDefault="00F70210" w:rsidP="0098212C">
            <w:pPr>
              <w:numPr>
                <w:ilvl w:val="0"/>
                <w:numId w:val="3"/>
              </w:numPr>
            </w:pPr>
            <w:r w:rsidRPr="00E04E99">
              <w:t>the percentage of all pupils who are persistently absent being in line with national attendance data</w:t>
            </w:r>
          </w:p>
        </w:tc>
      </w:tr>
      <w:tr w:rsidR="00F70210" w:rsidRPr="0098212C" w14:paraId="28EFBBD6" w14:textId="77777777" w:rsidTr="00F70210">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F6E20" w14:textId="2DB06029" w:rsidR="00F70210" w:rsidRDefault="00F70210" w:rsidP="00F70210">
            <w:pPr>
              <w:tabs>
                <w:tab w:val="center" w:pos="918"/>
              </w:tabs>
            </w:pPr>
            <w:r>
              <w:t xml:space="preserve">  8</w:t>
            </w:r>
            <w:r>
              <w:tab/>
            </w:r>
          </w:p>
        </w:tc>
        <w:tc>
          <w:tcPr>
            <w:tcW w:w="2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2090D2" w14:textId="68572DD2" w:rsidR="00F70210" w:rsidRPr="0098212C" w:rsidRDefault="00F70210" w:rsidP="0098212C">
            <w:r w:rsidRPr="0098212C">
              <w:t>To achieve and sustain improved wellbeing for all pupils in our school, particularly our disadvantaged pupils.</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85B577" w14:textId="77777777" w:rsidR="00F70210" w:rsidRPr="0098212C" w:rsidRDefault="00F70210" w:rsidP="00FB1CD9">
            <w:r w:rsidRPr="0098212C">
              <w:t>Sustained high levels of wellbeing by 2024/25 demonstrated by:</w:t>
            </w:r>
          </w:p>
          <w:p w14:paraId="6B8F90D0" w14:textId="77777777" w:rsidR="00F70210" w:rsidRPr="0098212C" w:rsidRDefault="00F70210" w:rsidP="00FB1CD9">
            <w:pPr>
              <w:numPr>
                <w:ilvl w:val="0"/>
                <w:numId w:val="4"/>
              </w:numPr>
            </w:pPr>
            <w:r w:rsidRPr="0098212C">
              <w:t xml:space="preserve">qualitative data from </w:t>
            </w:r>
            <w:r>
              <w:t>pupil</w:t>
            </w:r>
            <w:r w:rsidRPr="0098212C">
              <w:t xml:space="preserve"> voice, </w:t>
            </w:r>
            <w:r>
              <w:t>pupil</w:t>
            </w:r>
            <w:r w:rsidRPr="0098212C">
              <w:t xml:space="preserve"> and parent surveys and teacher observations</w:t>
            </w:r>
          </w:p>
          <w:p w14:paraId="7DB35BB1" w14:textId="77777777" w:rsidR="00F70210" w:rsidRPr="0098212C" w:rsidRDefault="00F70210" w:rsidP="00FB1CD9">
            <w:pPr>
              <w:numPr>
                <w:ilvl w:val="0"/>
                <w:numId w:val="4"/>
              </w:numPr>
            </w:pPr>
            <w:r>
              <w:t>a reduction in negative behaviours</w:t>
            </w:r>
          </w:p>
          <w:p w14:paraId="7160C844" w14:textId="64D1974D" w:rsidR="00F70210" w:rsidRPr="0098212C" w:rsidRDefault="00F70210" w:rsidP="0098212C">
            <w:r>
              <w:t>an</w:t>
            </w:r>
            <w:r w:rsidRPr="0098212C">
              <w:t xml:space="preserve"> increase in participation in enrichment activities, particularly among disadvantaged pupils    </w:t>
            </w:r>
          </w:p>
        </w:tc>
      </w:tr>
      <w:tr w:rsidR="00F70210" w:rsidRPr="0098212C" w14:paraId="3A54162B" w14:textId="77777777" w:rsidTr="00F70210">
        <w:tc>
          <w:tcPr>
            <w:tcW w:w="1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6C512" w14:textId="46E34484" w:rsidR="00F70210" w:rsidRDefault="00F70210" w:rsidP="00F70210">
            <w:pPr>
              <w:tabs>
                <w:tab w:val="center" w:pos="918"/>
              </w:tabs>
            </w:pPr>
            <w:r>
              <w:t xml:space="preserve">  9</w:t>
            </w:r>
          </w:p>
        </w:tc>
        <w:tc>
          <w:tcPr>
            <w:tcW w:w="2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912697" w14:textId="77777777" w:rsidR="00F70210" w:rsidRDefault="00F70210" w:rsidP="00FB1CD9">
            <w:r>
              <w:t xml:space="preserve">Sustain the </w:t>
            </w:r>
            <w:proofErr w:type="gramStart"/>
            <w:r>
              <w:t>schools</w:t>
            </w:r>
            <w:proofErr w:type="gramEnd"/>
            <w:r>
              <w:t xml:space="preserve"> community provision and support for families in need</w:t>
            </w:r>
          </w:p>
          <w:p w14:paraId="4C13368E" w14:textId="77777777" w:rsidR="00F70210" w:rsidRPr="0098212C" w:rsidRDefault="00F70210" w:rsidP="0098212C"/>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82275B" w14:textId="77777777" w:rsidR="00F70210" w:rsidRDefault="00F70210" w:rsidP="00FB1CD9">
            <w:r>
              <w:t>School will continue to provide outreach to families and community members – mental health and well- being, emotional support</w:t>
            </w:r>
          </w:p>
          <w:p w14:paraId="252C7FE3" w14:textId="77777777" w:rsidR="00F70210" w:rsidRDefault="00F70210" w:rsidP="00FB1CD9">
            <w:r>
              <w:t>The school food bank will continue to provide much needed supplies for families each week – increased number of families</w:t>
            </w:r>
          </w:p>
          <w:p w14:paraId="1820B889" w14:textId="3732F94A" w:rsidR="00F70210" w:rsidRPr="0098212C" w:rsidRDefault="00F70210" w:rsidP="00FB1CD9">
            <w:r>
              <w:t>The trusting relationship between school, families and community will continue to underpin the vision and values of the school.</w:t>
            </w:r>
          </w:p>
        </w:tc>
      </w:tr>
    </w:tbl>
    <w:p w14:paraId="6C956944" w14:textId="77777777" w:rsidR="00554DFA" w:rsidRDefault="00554DFA" w:rsidP="0098212C">
      <w:pPr>
        <w:rPr>
          <w:b/>
        </w:rPr>
      </w:pPr>
    </w:p>
    <w:p w14:paraId="3AF43CE1" w14:textId="77723984" w:rsidR="0098212C" w:rsidRPr="00A76ECA" w:rsidRDefault="0098212C" w:rsidP="0098212C">
      <w:pPr>
        <w:rPr>
          <w:b/>
          <w:sz w:val="32"/>
          <w:szCs w:val="32"/>
        </w:rPr>
      </w:pPr>
      <w:r w:rsidRPr="00A76ECA">
        <w:rPr>
          <w:b/>
          <w:sz w:val="32"/>
          <w:szCs w:val="32"/>
        </w:rPr>
        <w:t>Activity in this academic year</w:t>
      </w:r>
    </w:p>
    <w:p w14:paraId="46D06239" w14:textId="77777777" w:rsidR="0098212C" w:rsidRPr="0098212C" w:rsidRDefault="0098212C" w:rsidP="0098212C">
      <w:r w:rsidRPr="0098212C">
        <w:t xml:space="preserve">This details how we intend to spend our pupil premium (and recovery premium) funding </w:t>
      </w:r>
      <w:r w:rsidRPr="0098212C">
        <w:rPr>
          <w:b/>
          <w:bCs/>
        </w:rPr>
        <w:t>this academic year</w:t>
      </w:r>
      <w:r w:rsidRPr="0098212C">
        <w:t xml:space="preserve"> to address the challenges listed above.</w:t>
      </w:r>
    </w:p>
    <w:p w14:paraId="4355006B" w14:textId="77777777" w:rsidR="0098212C" w:rsidRPr="0098212C" w:rsidRDefault="0098212C" w:rsidP="0098212C">
      <w:pPr>
        <w:rPr>
          <w:b/>
          <w:bCs/>
        </w:rPr>
      </w:pPr>
      <w:r w:rsidRPr="0098212C">
        <w:rPr>
          <w:b/>
          <w:bCs/>
        </w:rPr>
        <w:t>Teaching (for example, CPD, recruitment and retention)</w:t>
      </w:r>
    </w:p>
    <w:p w14:paraId="2EFDEF4D" w14:textId="76D49F56" w:rsidR="0098212C" w:rsidRPr="0098212C" w:rsidRDefault="0098212C" w:rsidP="0098212C">
      <w:r w:rsidRPr="007D7097">
        <w:t xml:space="preserve">Budgeted cost: </w:t>
      </w:r>
      <w:r w:rsidRPr="007D7097">
        <w:rPr>
          <w:b/>
          <w:bCs/>
        </w:rPr>
        <w:t>£</w:t>
      </w:r>
      <w:r w:rsidR="00554DFA">
        <w:rPr>
          <w:b/>
          <w:bCs/>
        </w:rPr>
        <w:t xml:space="preserve"> </w:t>
      </w:r>
      <w:r w:rsidR="00A81B38">
        <w:rPr>
          <w:b/>
          <w:bCs/>
        </w:rPr>
        <w:t>2</w:t>
      </w:r>
      <w:r w:rsidR="00A76ECA">
        <w:rPr>
          <w:b/>
          <w:bCs/>
        </w:rPr>
        <w:t>2</w:t>
      </w:r>
      <w:r w:rsidR="00A81B38">
        <w:rPr>
          <w:b/>
          <w:bCs/>
        </w:rPr>
        <w:t>0,00</w:t>
      </w:r>
    </w:p>
    <w:tbl>
      <w:tblPr>
        <w:tblW w:w="5000" w:type="pct"/>
        <w:tblLayout w:type="fixed"/>
        <w:tblCellMar>
          <w:left w:w="10" w:type="dxa"/>
          <w:right w:w="10" w:type="dxa"/>
        </w:tblCellMar>
        <w:tblLook w:val="04A0" w:firstRow="1" w:lastRow="0" w:firstColumn="1" w:lastColumn="0" w:noHBand="0" w:noVBand="1"/>
      </w:tblPr>
      <w:tblGrid>
        <w:gridCol w:w="3229"/>
        <w:gridCol w:w="4305"/>
        <w:gridCol w:w="1482"/>
      </w:tblGrid>
      <w:tr w:rsidR="0098212C" w:rsidRPr="0098212C" w14:paraId="3F1EF547" w14:textId="77777777" w:rsidTr="00EF51F3">
        <w:trPr>
          <w:trHeight w:val="1254"/>
        </w:trPr>
        <w:tc>
          <w:tcPr>
            <w:tcW w:w="33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5ED21C10" w14:textId="77777777" w:rsidR="0098212C" w:rsidRPr="0098212C" w:rsidRDefault="0098212C" w:rsidP="0098212C">
            <w:pPr>
              <w:rPr>
                <w:b/>
              </w:rPr>
            </w:pPr>
            <w:r w:rsidRPr="0098212C">
              <w:rPr>
                <w:b/>
              </w:rPr>
              <w:lastRenderedPageBreak/>
              <w:t>Activity</w:t>
            </w:r>
          </w:p>
        </w:tc>
        <w:tc>
          <w:tcPr>
            <w:tcW w:w="4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3D8B6967" w14:textId="77777777" w:rsidR="0098212C" w:rsidRPr="0098212C" w:rsidRDefault="0098212C" w:rsidP="0098212C">
            <w:pPr>
              <w:rPr>
                <w:b/>
              </w:rPr>
            </w:pPr>
            <w:r w:rsidRPr="0098212C">
              <w:rPr>
                <w:b/>
              </w:rPr>
              <w:t>Evidence that supports this approach</w:t>
            </w: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8577B39" w14:textId="77777777" w:rsidR="0098212C" w:rsidRPr="0098212C" w:rsidRDefault="0098212C" w:rsidP="0098212C">
            <w:pPr>
              <w:rPr>
                <w:b/>
              </w:rPr>
            </w:pPr>
            <w:r w:rsidRPr="0098212C">
              <w:rPr>
                <w:b/>
              </w:rPr>
              <w:t>Challenge number(s) addressed</w:t>
            </w:r>
          </w:p>
        </w:tc>
      </w:tr>
      <w:tr w:rsidR="0098212C" w:rsidRPr="0098212C" w14:paraId="5BC816F5" w14:textId="77777777" w:rsidTr="00554DFA">
        <w:tc>
          <w:tcPr>
            <w:tcW w:w="33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B467C8" w14:textId="77777777" w:rsidR="0098212C" w:rsidRPr="0098212C" w:rsidRDefault="0098212C" w:rsidP="0098212C">
            <w:pPr>
              <w:rPr>
                <w:iCs/>
                <w:lang w:val="en-US"/>
              </w:rPr>
            </w:pPr>
            <w:r w:rsidRPr="0098212C">
              <w:rPr>
                <w:iCs/>
                <w:lang w:val="en-US"/>
              </w:rPr>
              <w:t xml:space="preserve">Embedding dialogic activities across the school curriculum. These can support pupils to articulate key ideas, consolidate understanding and extend vocabulary. </w:t>
            </w:r>
          </w:p>
          <w:p w14:paraId="20FE25F8" w14:textId="77777777" w:rsidR="0098212C" w:rsidRPr="0098212C" w:rsidRDefault="0098212C" w:rsidP="00425B76">
            <w:r w:rsidRPr="0098212C">
              <w:t>We will purchase resources</w:t>
            </w:r>
            <w:r w:rsidR="009E50B8">
              <w:t xml:space="preserve">, build partnerships with </w:t>
            </w:r>
            <w:r w:rsidR="00425B76">
              <w:t xml:space="preserve">the English Hub </w:t>
            </w:r>
            <w:r w:rsidRPr="0098212C">
              <w:t xml:space="preserve">and fund ongoing teacher training and release time. </w:t>
            </w:r>
          </w:p>
        </w:tc>
        <w:tc>
          <w:tcPr>
            <w:tcW w:w="4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036B6B" w14:textId="7B8C29A3" w:rsidR="0098212C" w:rsidRPr="0098212C" w:rsidRDefault="0098212C" w:rsidP="0098212C">
            <w:r w:rsidRPr="0098212C">
              <w:t xml:space="preserve">There is a strong evidence base that suggests </w:t>
            </w:r>
            <w:r w:rsidR="00F70210" w:rsidRPr="008248D7">
              <w:t>early</w:t>
            </w:r>
            <w:r w:rsidRPr="0098212C">
              <w:t xml:space="preserve"> language</w:t>
            </w:r>
            <w:r w:rsidR="00981154">
              <w:t xml:space="preserve"> skill</w:t>
            </w:r>
            <w:r w:rsidRPr="0098212C">
              <w:t xml:space="preserve"> interventions, including dialogic activities such as high-quality classroom discussion, are inexpensive to implement with high impacts on reading:</w:t>
            </w:r>
          </w:p>
          <w:p w14:paraId="0B3CB6ED" w14:textId="77777777" w:rsidR="0098212C" w:rsidRDefault="00C86A79" w:rsidP="0098212C">
            <w:hyperlink r:id="rId8" w:history="1">
              <w:r w:rsidR="0098212C" w:rsidRPr="0098212C">
                <w:rPr>
                  <w:rStyle w:val="Hyperlink"/>
                </w:rPr>
                <w:t>Oral language interventions | Toolkit Strand | Education Endowment Foundation | EEF</w:t>
              </w:r>
            </w:hyperlink>
          </w:p>
          <w:p w14:paraId="3342476A" w14:textId="77777777" w:rsidR="00554DFA" w:rsidRPr="0098212C" w:rsidRDefault="00554DFA" w:rsidP="0098212C"/>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BA7285" w14:textId="77777777" w:rsidR="0098212C" w:rsidRPr="0098212C" w:rsidRDefault="0098212C" w:rsidP="0098212C">
            <w:r w:rsidRPr="0098212C">
              <w:t>1</w:t>
            </w:r>
            <w:r w:rsidR="00AD0D6D">
              <w:t>,4</w:t>
            </w:r>
          </w:p>
        </w:tc>
      </w:tr>
      <w:tr w:rsidR="00554DFA" w:rsidRPr="0098212C" w14:paraId="359C6FC0" w14:textId="77777777" w:rsidTr="00554DFA">
        <w:tc>
          <w:tcPr>
            <w:tcW w:w="33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258926" w14:textId="4B264C46" w:rsidR="00554DFA" w:rsidRDefault="00554DFA" w:rsidP="00605D6C">
            <w:r w:rsidRPr="00554DFA">
              <w:t xml:space="preserve">Improving spoken </w:t>
            </w:r>
            <w:r w:rsidR="00981154" w:rsidRPr="008248D7">
              <w:t>early</w:t>
            </w:r>
            <w:r w:rsidR="00981154">
              <w:t xml:space="preserve"> </w:t>
            </w:r>
            <w:r w:rsidRPr="00554DFA">
              <w:t xml:space="preserve">language skills in young children around the time that they start school </w:t>
            </w:r>
          </w:p>
          <w:p w14:paraId="090B4FF9" w14:textId="77777777" w:rsidR="008B381D" w:rsidRDefault="008B381D" w:rsidP="00605D6C">
            <w:r>
              <w:t xml:space="preserve">Training for key members of staff to deliver NELI programme </w:t>
            </w:r>
          </w:p>
          <w:p w14:paraId="1207BCC8" w14:textId="77777777" w:rsidR="00554DFA" w:rsidRPr="0098212C" w:rsidRDefault="00554DFA" w:rsidP="00605D6C"/>
        </w:tc>
        <w:tc>
          <w:tcPr>
            <w:tcW w:w="4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E1F668" w14:textId="77777777" w:rsidR="00554DFA" w:rsidRDefault="00554DFA" w:rsidP="00605D6C">
            <w:r>
              <w:t xml:space="preserve">EEF NELI Research outcomes; </w:t>
            </w:r>
            <w:r w:rsidRPr="00554DFA">
              <w:t>The Nuffield Early Language Intervention had a positive impact on the language skills of children in the trial.</w:t>
            </w:r>
          </w:p>
          <w:p w14:paraId="70B6E4FF" w14:textId="77777777" w:rsidR="00554DFA" w:rsidRPr="0098212C" w:rsidRDefault="00C86A79" w:rsidP="00605D6C">
            <w:hyperlink r:id="rId9" w:history="1">
              <w:r w:rsidR="00554DFA" w:rsidRPr="00A0780A">
                <w:rPr>
                  <w:rStyle w:val="Hyperlink"/>
                </w:rPr>
                <w:t>https://educationendowmentfoundation.org.uk/projects-and-evaluation/projects/nuffield-early-language-intervention</w:t>
              </w:r>
            </w:hyperlink>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7BF616" w14:textId="77777777" w:rsidR="00554DFA" w:rsidRPr="0098212C" w:rsidRDefault="00EF51F3" w:rsidP="0098212C">
            <w:r>
              <w:t>1</w:t>
            </w:r>
            <w:r w:rsidR="00AD0D6D">
              <w:t>,4</w:t>
            </w:r>
          </w:p>
        </w:tc>
      </w:tr>
      <w:tr w:rsidR="00554DFA" w:rsidRPr="0098212C" w14:paraId="54CA6245" w14:textId="77777777" w:rsidTr="00554DFA">
        <w:tc>
          <w:tcPr>
            <w:tcW w:w="33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77F6B6" w14:textId="77777777" w:rsidR="00554DFA" w:rsidRPr="0098212C" w:rsidRDefault="00425B76" w:rsidP="0098212C">
            <w:pPr>
              <w:rPr>
                <w:iCs/>
              </w:rPr>
            </w:pPr>
            <w:r>
              <w:rPr>
                <w:iCs/>
              </w:rPr>
              <w:t>E</w:t>
            </w:r>
            <w:r w:rsidR="00EF51F3">
              <w:rPr>
                <w:iCs/>
              </w:rPr>
              <w:t xml:space="preserve">mbedding </w:t>
            </w:r>
            <w:r w:rsidR="00554DFA" w:rsidRPr="0098212C">
              <w:rPr>
                <w:iCs/>
              </w:rPr>
              <w:t xml:space="preserve">of a </w:t>
            </w:r>
            <w:hyperlink r:id="rId10" w:history="1">
              <w:r w:rsidR="00554DFA" w:rsidRPr="0098212C">
                <w:rPr>
                  <w:rStyle w:val="Hyperlink"/>
                  <w:iCs/>
                </w:rPr>
                <w:t>D</w:t>
              </w:r>
              <w:r w:rsidR="00554DFA" w:rsidRPr="0098212C">
                <w:rPr>
                  <w:rStyle w:val="Hyperlink"/>
                </w:rPr>
                <w:t xml:space="preserve">fE </w:t>
              </w:r>
              <w:r w:rsidR="00554DFA" w:rsidRPr="0098212C">
                <w:rPr>
                  <w:rStyle w:val="Hyperlink"/>
                  <w:iCs/>
                </w:rPr>
                <w:t>validated Systematic Synthetic Phonics programme</w:t>
              </w:r>
            </w:hyperlink>
            <w:r w:rsidR="00554DFA" w:rsidRPr="0098212C">
              <w:rPr>
                <w:iCs/>
              </w:rPr>
              <w:t xml:space="preserve"> to secure stronger phonics teaching for all pupils.</w:t>
            </w:r>
          </w:p>
        </w:tc>
        <w:tc>
          <w:tcPr>
            <w:tcW w:w="4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40756B" w14:textId="77777777" w:rsidR="00554DFA" w:rsidRPr="0098212C" w:rsidRDefault="00554DFA" w:rsidP="0098212C">
            <w:r w:rsidRPr="0098212C">
              <w:t xml:space="preserve">Phonics approaches have a strong evidence base that indicates a positive impact on the accuracy of word reading (though not necessarily comprehension), particularly for disadvantaged pupils: </w:t>
            </w:r>
          </w:p>
          <w:p w14:paraId="59E5406B" w14:textId="77777777" w:rsidR="00554DFA" w:rsidRPr="0098212C" w:rsidRDefault="00C86A79" w:rsidP="0098212C">
            <w:hyperlink r:id="rId11" w:history="1">
              <w:r w:rsidR="00554DFA" w:rsidRPr="0098212C">
                <w:rPr>
                  <w:rStyle w:val="Hyperlink"/>
                </w:rPr>
                <w:t>Phonics | Toolkit Strand | Education Endowment Foundation | EEF</w:t>
              </w:r>
            </w:hyperlink>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E52BB3" w14:textId="77777777" w:rsidR="00554DFA" w:rsidRPr="0098212C" w:rsidRDefault="00554DFA" w:rsidP="0098212C">
            <w:r w:rsidRPr="0098212C">
              <w:t>2</w:t>
            </w:r>
            <w:r w:rsidR="00AD0D6D">
              <w:t>,4</w:t>
            </w:r>
          </w:p>
        </w:tc>
      </w:tr>
      <w:tr w:rsidR="00554DFA" w:rsidRPr="0098212C" w14:paraId="0B7DE841" w14:textId="77777777" w:rsidTr="00554DFA">
        <w:tc>
          <w:tcPr>
            <w:tcW w:w="33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28CEA6" w14:textId="77777777" w:rsidR="00554DFA" w:rsidRPr="0098212C" w:rsidRDefault="00554DFA" w:rsidP="0098212C">
            <w:r w:rsidRPr="0098212C">
              <w:t>Enhancement of our maths teaching and curriculum planning in line with DfE and EEF guidance.</w:t>
            </w:r>
          </w:p>
          <w:p w14:paraId="7F8CB17C" w14:textId="77777777" w:rsidR="00554DFA" w:rsidRPr="0098212C" w:rsidRDefault="00554DFA" w:rsidP="0098212C">
            <w:pPr>
              <w:rPr>
                <w:iCs/>
              </w:rPr>
            </w:pPr>
            <w:r w:rsidRPr="0098212C">
              <w:t>We will fund teacher release time to embed key elements of guidance in school and to access Maths Hub resources and CPD (including Teaching for Mastery training).</w:t>
            </w:r>
          </w:p>
        </w:tc>
        <w:tc>
          <w:tcPr>
            <w:tcW w:w="4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81D390" w14:textId="77777777" w:rsidR="00554DFA" w:rsidRPr="0098212C" w:rsidRDefault="00554DFA" w:rsidP="0098212C">
            <w:pPr>
              <w:rPr>
                <w:iCs/>
              </w:rPr>
            </w:pPr>
            <w:r w:rsidRPr="0098212C">
              <w:rPr>
                <w:iCs/>
              </w:rPr>
              <w:t xml:space="preserve">The DfE non-statutory guidance has been produced in conjunction with the National Centre for Excellence in the Teaching of Mathematics, drawing on evidence-based approaches: </w:t>
            </w:r>
          </w:p>
          <w:p w14:paraId="369E1C58" w14:textId="77777777" w:rsidR="00554DFA" w:rsidRPr="0098212C" w:rsidRDefault="00C86A79" w:rsidP="0098212C">
            <w:pPr>
              <w:rPr>
                <w:iCs/>
              </w:rPr>
            </w:pPr>
            <w:hyperlink r:id="rId12" w:history="1">
              <w:r w:rsidR="00554DFA" w:rsidRPr="0098212C">
                <w:rPr>
                  <w:rStyle w:val="Hyperlink"/>
                </w:rPr>
                <w:t>Maths_guidance_KS_1_and_2.pdf (publishing.service.gov.uk)</w:t>
              </w:r>
            </w:hyperlink>
          </w:p>
          <w:p w14:paraId="6AB23E6C" w14:textId="77777777" w:rsidR="00554DFA" w:rsidRPr="0098212C" w:rsidRDefault="00554DFA" w:rsidP="0098212C">
            <w:r w:rsidRPr="0098212C">
              <w:t xml:space="preserve">The EEF guidance is based on a range of the best available evidence: </w:t>
            </w:r>
          </w:p>
          <w:p w14:paraId="5311A8FF" w14:textId="77777777" w:rsidR="00554DFA" w:rsidRDefault="00C86A79" w:rsidP="0098212C">
            <w:hyperlink r:id="rId13" w:history="1">
              <w:r w:rsidR="00554DFA" w:rsidRPr="0098212C">
                <w:rPr>
                  <w:rStyle w:val="Hyperlink"/>
                </w:rPr>
                <w:t>Improving Mathematics in Key Stages 2 and 3</w:t>
              </w:r>
            </w:hyperlink>
          </w:p>
          <w:p w14:paraId="678D30D3" w14:textId="77777777" w:rsidR="00EF51F3" w:rsidRDefault="00C86A79" w:rsidP="00EF51F3">
            <w:hyperlink r:id="rId14" w:history="1">
              <w:r w:rsidR="00EF51F3" w:rsidRPr="00A0780A">
                <w:rPr>
                  <w:rStyle w:val="Hyperlink"/>
                </w:rPr>
                <w:t>https://educationendowmentfoundation.org.uk/education-evidence/guidance-reports/maths-ks-2-3</w:t>
              </w:r>
            </w:hyperlink>
          </w:p>
          <w:p w14:paraId="2E9707F6" w14:textId="77777777" w:rsidR="00D0757F" w:rsidRDefault="00C86A79" w:rsidP="0098212C">
            <w:pPr>
              <w:rPr>
                <w:rStyle w:val="Hyperlink"/>
              </w:rPr>
            </w:pPr>
            <w:hyperlink r:id="rId15" w:history="1">
              <w:r w:rsidR="00EF51F3" w:rsidRPr="00A0780A">
                <w:rPr>
                  <w:rStyle w:val="Hyperlink"/>
                </w:rPr>
                <w:t>https://educationendowmentfoundation.org.uk/education-evidence/teaching-learning-toolkit/mastery-learning</w:t>
              </w:r>
            </w:hyperlink>
          </w:p>
          <w:p w14:paraId="73194520" w14:textId="77777777" w:rsidR="00D0757F" w:rsidRPr="00D0757F" w:rsidRDefault="00D0757F" w:rsidP="0098212C">
            <w:pPr>
              <w:rPr>
                <w:rStyle w:val="Hyperlink"/>
                <w:color w:val="auto"/>
                <w:u w:val="none"/>
              </w:rPr>
            </w:pPr>
            <w:r w:rsidRPr="00D0757F">
              <w:rPr>
                <w:rStyle w:val="Hyperlink"/>
                <w:color w:val="auto"/>
                <w:u w:val="none"/>
              </w:rPr>
              <w:t>EEF Blogs</w:t>
            </w:r>
          </w:p>
          <w:p w14:paraId="2B7DD7E2" w14:textId="77777777" w:rsidR="00D0757F" w:rsidRDefault="00C86A79" w:rsidP="0098212C">
            <w:pPr>
              <w:rPr>
                <w:rStyle w:val="Hyperlink"/>
              </w:rPr>
            </w:pPr>
            <w:hyperlink r:id="rId16" w:history="1">
              <w:r w:rsidR="00D0757F" w:rsidRPr="00A0780A">
                <w:rPr>
                  <w:rStyle w:val="Hyperlink"/>
                </w:rPr>
                <w:t>https://educationendowmentfoundation.org.uk/news/eef-blog-told-four-evidence-informed-principles-to-promote-high-quality-talk-in-maths</w:t>
              </w:r>
            </w:hyperlink>
          </w:p>
          <w:p w14:paraId="15CFCB4D" w14:textId="77777777" w:rsidR="00D0757F" w:rsidRPr="00425B76" w:rsidRDefault="00C86A79" w:rsidP="0098212C">
            <w:pPr>
              <w:rPr>
                <w:color w:val="0000FF" w:themeColor="hyperlink"/>
                <w:u w:val="single"/>
              </w:rPr>
            </w:pPr>
            <w:hyperlink r:id="rId17" w:history="1">
              <w:r w:rsidR="00D0757F" w:rsidRPr="00A0780A">
                <w:rPr>
                  <w:rStyle w:val="Hyperlink"/>
                </w:rPr>
                <w:t>https://educationendowmentfoundation.org.uk/news/using-storybooks-to-promote-high-quality-talk-in-maths</w:t>
              </w:r>
            </w:hyperlink>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B7066A" w14:textId="77777777" w:rsidR="00554DFA" w:rsidRPr="0098212C" w:rsidRDefault="00554DFA" w:rsidP="0098212C">
            <w:r w:rsidRPr="0098212C">
              <w:lastRenderedPageBreak/>
              <w:t>3</w:t>
            </w:r>
            <w:r w:rsidR="00AD0D6D">
              <w:t>,4</w:t>
            </w:r>
          </w:p>
        </w:tc>
      </w:tr>
      <w:tr w:rsidR="00554DFA" w:rsidRPr="0098212C" w14:paraId="52CB86D0" w14:textId="77777777" w:rsidTr="00554DFA">
        <w:tc>
          <w:tcPr>
            <w:tcW w:w="33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43AD9F" w14:textId="77777777" w:rsidR="00554DFA" w:rsidRPr="0098212C" w:rsidRDefault="00554DFA" w:rsidP="0098212C">
            <w:pPr>
              <w:rPr>
                <w:iCs/>
                <w:lang w:val="en-US"/>
              </w:rPr>
            </w:pPr>
            <w:r w:rsidRPr="0098212C">
              <w:rPr>
                <w:iCs/>
                <w:lang w:val="en-US"/>
              </w:rPr>
              <w:t>Improve the quality of social and emotional (SEL) learning.</w:t>
            </w:r>
          </w:p>
          <w:p w14:paraId="5768ACD0" w14:textId="77777777" w:rsidR="001C75D7" w:rsidRPr="0098212C" w:rsidRDefault="00554DFA" w:rsidP="0098212C">
            <w:pPr>
              <w:rPr>
                <w:iCs/>
                <w:lang w:val="en-US"/>
              </w:rPr>
            </w:pPr>
            <w:r w:rsidRPr="0098212C">
              <w:rPr>
                <w:iCs/>
                <w:lang w:val="en-US"/>
              </w:rPr>
              <w:t>SEL approaches will be embedded into routine educational practices and supported by professional development and training for staff</w:t>
            </w:r>
            <w:r w:rsidR="005E61B2">
              <w:rPr>
                <w:iCs/>
                <w:lang w:val="en-US"/>
              </w:rPr>
              <w:t xml:space="preserve"> </w:t>
            </w:r>
            <w:proofErr w:type="spellStart"/>
            <w:r w:rsidR="005E61B2">
              <w:rPr>
                <w:iCs/>
                <w:lang w:val="en-US"/>
              </w:rPr>
              <w:t>e.g</w:t>
            </w:r>
            <w:proofErr w:type="spellEnd"/>
            <w:r w:rsidR="005E61B2">
              <w:rPr>
                <w:iCs/>
                <w:lang w:val="en-US"/>
              </w:rPr>
              <w:t xml:space="preserve"> Emotion Coaching and introduction role of </w:t>
            </w:r>
            <w:proofErr w:type="spellStart"/>
            <w:r w:rsidR="005E61B2">
              <w:rPr>
                <w:iCs/>
                <w:lang w:val="en-US"/>
              </w:rPr>
              <w:t>Behaviour</w:t>
            </w:r>
            <w:proofErr w:type="spellEnd"/>
            <w:r w:rsidR="005E61B2">
              <w:rPr>
                <w:iCs/>
                <w:lang w:val="en-US"/>
              </w:rPr>
              <w:t xml:space="preserve"> Mentor </w:t>
            </w:r>
          </w:p>
        </w:tc>
        <w:tc>
          <w:tcPr>
            <w:tcW w:w="4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BA91BC" w14:textId="77777777" w:rsidR="001C75D7" w:rsidRDefault="00554DFA" w:rsidP="0098212C">
            <w:r w:rsidRPr="0098212C">
              <w:t>There is extensive evidence associating childhood social and emotional skills with improved outcomes at school and in later life (e.g., improved academic performance, attitudes, behaviour</w:t>
            </w:r>
            <w:r w:rsidR="001C75D7">
              <w:t xml:space="preserve"> </w:t>
            </w:r>
            <w:r w:rsidR="00CD10D3">
              <w:t xml:space="preserve">and relationships with peers): </w:t>
            </w:r>
          </w:p>
          <w:p w14:paraId="4175C1E6" w14:textId="77777777" w:rsidR="00554DFA" w:rsidRPr="0098212C" w:rsidRDefault="00C86A79" w:rsidP="0098212C">
            <w:hyperlink r:id="rId18" w:history="1">
              <w:r w:rsidR="00554DFA" w:rsidRPr="0098212C">
                <w:rPr>
                  <w:rStyle w:val="Hyperlink"/>
                </w:rPr>
                <w:t>EEF_Social_and_Emotional_Learning.pdf(educationendowmentfoundation.org.uk)</w:t>
              </w:r>
            </w:hyperlink>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9C5DE8" w14:textId="77777777" w:rsidR="00554DFA" w:rsidRPr="0098212C" w:rsidRDefault="00AD0D6D" w:rsidP="0098212C">
            <w:r>
              <w:t>4,</w:t>
            </w:r>
            <w:r w:rsidR="00554DFA" w:rsidRPr="0098212C">
              <w:t>5</w:t>
            </w:r>
            <w:r w:rsidR="00EF51F3">
              <w:t>,8</w:t>
            </w:r>
          </w:p>
        </w:tc>
      </w:tr>
      <w:tr w:rsidR="00EF51F3" w:rsidRPr="0098212C" w14:paraId="0E38D4F8" w14:textId="77777777" w:rsidTr="00554DFA">
        <w:tc>
          <w:tcPr>
            <w:tcW w:w="33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FFCB3A" w14:textId="77777777" w:rsidR="00EF51F3" w:rsidRPr="00EF51F3" w:rsidRDefault="00AD0D6D" w:rsidP="00EF51F3">
            <w:pPr>
              <w:rPr>
                <w:iCs/>
                <w:lang w:val="en-US"/>
              </w:rPr>
            </w:pPr>
            <w:r>
              <w:rPr>
                <w:iCs/>
                <w:lang w:val="en-US"/>
              </w:rPr>
              <w:t xml:space="preserve">Commitment to ensure existing </w:t>
            </w:r>
            <w:r w:rsidR="00EF51F3">
              <w:rPr>
                <w:iCs/>
                <w:lang w:val="en-US"/>
              </w:rPr>
              <w:t>Nurture provision</w:t>
            </w:r>
            <w:r>
              <w:rPr>
                <w:iCs/>
                <w:lang w:val="en-US"/>
              </w:rPr>
              <w:t xml:space="preserve"> </w:t>
            </w:r>
            <w:r w:rsidR="00E62C7D">
              <w:rPr>
                <w:iCs/>
                <w:lang w:val="en-US"/>
              </w:rPr>
              <w:t>continues to</w:t>
            </w:r>
            <w:r w:rsidR="00D0757F">
              <w:rPr>
                <w:iCs/>
                <w:lang w:val="en-US"/>
              </w:rPr>
              <w:t xml:space="preserve"> flourish </w:t>
            </w:r>
            <w:r w:rsidR="00003F5E">
              <w:rPr>
                <w:iCs/>
                <w:lang w:val="en-US"/>
              </w:rPr>
              <w:t xml:space="preserve"> </w:t>
            </w:r>
          </w:p>
          <w:p w14:paraId="44245EF7" w14:textId="77777777" w:rsidR="00EF51F3" w:rsidRPr="0098212C" w:rsidRDefault="00E62C7D" w:rsidP="00EF51F3">
            <w:pPr>
              <w:rPr>
                <w:iCs/>
                <w:lang w:val="en-US"/>
              </w:rPr>
            </w:pPr>
            <w:r>
              <w:rPr>
                <w:iCs/>
                <w:lang w:val="en-US"/>
              </w:rPr>
              <w:t>Training provided by Nurture Staff to other members of staff in order to ensure whole approaches are applied</w:t>
            </w:r>
          </w:p>
        </w:tc>
        <w:tc>
          <w:tcPr>
            <w:tcW w:w="4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5BFCFA" w14:textId="77777777" w:rsidR="00EF51F3" w:rsidRDefault="00C86A79" w:rsidP="00EF51F3">
            <w:pPr>
              <w:rPr>
                <w:iCs/>
                <w:lang w:val="en-US"/>
              </w:rPr>
            </w:pPr>
            <w:hyperlink r:id="rId19" w:history="1">
              <w:r w:rsidR="00EF51F3" w:rsidRPr="00A0780A">
                <w:rPr>
                  <w:rStyle w:val="Hyperlink"/>
                  <w:iCs/>
                  <w:lang w:val="en-US"/>
                </w:rPr>
                <w:t>https://www.nurtureuk.org/</w:t>
              </w:r>
            </w:hyperlink>
          </w:p>
          <w:p w14:paraId="5E04D517" w14:textId="77777777" w:rsidR="00EF51F3" w:rsidRDefault="00C86A79" w:rsidP="00EF51F3">
            <w:pPr>
              <w:rPr>
                <w:iCs/>
                <w:lang w:val="en-US"/>
              </w:rPr>
            </w:pPr>
            <w:hyperlink r:id="rId20" w:history="1">
              <w:r w:rsidR="00EF51F3" w:rsidRPr="00A0780A">
                <w:rPr>
                  <w:rStyle w:val="Hyperlink"/>
                  <w:iCs/>
                  <w:lang w:val="en-US"/>
                </w:rPr>
                <w:t>https://www.nurtureuk.org/what-we-do/awards/the-marjorie-boxall-quality-mark-award/</w:t>
              </w:r>
            </w:hyperlink>
          </w:p>
          <w:p w14:paraId="7A6FBE20" w14:textId="77777777" w:rsidR="00EF51F3" w:rsidRPr="00EF51F3" w:rsidRDefault="00EF51F3" w:rsidP="00EF51F3">
            <w:pPr>
              <w:rPr>
                <w:iCs/>
                <w:lang w:val="en-US"/>
              </w:rPr>
            </w:pPr>
            <w:r w:rsidRPr="00EF51F3">
              <w:rPr>
                <w:iCs/>
                <w:lang w:val="en-US"/>
              </w:rPr>
              <w:t>EEF Toolkit</w:t>
            </w:r>
          </w:p>
          <w:p w14:paraId="2BDDCB9C" w14:textId="77777777" w:rsidR="00EF51F3" w:rsidRDefault="00C86A79" w:rsidP="00EF51F3">
            <w:pPr>
              <w:rPr>
                <w:iCs/>
                <w:lang w:val="en-US"/>
              </w:rPr>
            </w:pPr>
            <w:hyperlink r:id="rId21" w:history="1">
              <w:r w:rsidR="00EF51F3" w:rsidRPr="00A0780A">
                <w:rPr>
                  <w:rStyle w:val="Hyperlink"/>
                  <w:iCs/>
                  <w:lang w:val="en-US"/>
                </w:rPr>
                <w:t>https://educationendowmentfoundation.org.uk/education-evidence/teaching-learning-toolkit/metacognition-and-self-regulation</w:t>
              </w:r>
            </w:hyperlink>
          </w:p>
          <w:p w14:paraId="76D8EE6B" w14:textId="77777777" w:rsidR="00EF51F3" w:rsidRPr="00EF51F3" w:rsidRDefault="00EF51F3" w:rsidP="00EF51F3">
            <w:pPr>
              <w:rPr>
                <w:iCs/>
                <w:lang w:val="en-US"/>
              </w:rPr>
            </w:pPr>
          </w:p>
          <w:p w14:paraId="7B3F7B66" w14:textId="77777777" w:rsidR="00EF51F3" w:rsidRPr="00EF51F3" w:rsidRDefault="00C86A79" w:rsidP="00EF51F3">
            <w:pPr>
              <w:rPr>
                <w:iCs/>
                <w:lang w:val="en-US"/>
              </w:rPr>
            </w:pPr>
            <w:hyperlink r:id="rId22" w:history="1">
              <w:r w:rsidR="00EF51F3" w:rsidRPr="00A0780A">
                <w:rPr>
                  <w:rStyle w:val="Hyperlink"/>
                  <w:iCs/>
                  <w:lang w:val="en-US"/>
                </w:rPr>
                <w:t>https://educationendowmentfoundation.org.uk/education-evidence/teaching-learning-toolkit/social-and-emotional-learning</w:t>
              </w:r>
            </w:hyperlink>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6DF40F" w14:textId="77777777" w:rsidR="00EF51F3" w:rsidRPr="0098212C" w:rsidRDefault="00AD0D6D" w:rsidP="0098212C">
            <w:r>
              <w:t>4,</w:t>
            </w:r>
            <w:r w:rsidR="00EF51F3">
              <w:t>5,8</w:t>
            </w:r>
          </w:p>
        </w:tc>
      </w:tr>
      <w:tr w:rsidR="00AD0D6D" w:rsidRPr="0098212C" w14:paraId="663BB539" w14:textId="77777777" w:rsidTr="00554DFA">
        <w:tc>
          <w:tcPr>
            <w:tcW w:w="33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4EE8B0" w14:textId="77777777" w:rsidR="00AD0D6D" w:rsidRDefault="00AD0D6D" w:rsidP="00AD0D6D">
            <w:pPr>
              <w:rPr>
                <w:iCs/>
                <w:lang w:val="en-US"/>
              </w:rPr>
            </w:pPr>
            <w:r>
              <w:rPr>
                <w:iCs/>
                <w:lang w:val="en-US"/>
              </w:rPr>
              <w:lastRenderedPageBreak/>
              <w:t>C</w:t>
            </w:r>
            <w:r w:rsidR="002A4C08">
              <w:rPr>
                <w:iCs/>
                <w:lang w:val="en-US"/>
              </w:rPr>
              <w:t>ontinued school c</w:t>
            </w:r>
            <w:r>
              <w:rPr>
                <w:iCs/>
                <w:lang w:val="en-US"/>
              </w:rPr>
              <w:t xml:space="preserve">ommitment to ensuring the strength, quality and efficacy of the inclusion staffing structure to support </w:t>
            </w:r>
            <w:r w:rsidR="002A4C08">
              <w:rPr>
                <w:iCs/>
                <w:lang w:val="en-US"/>
              </w:rPr>
              <w:t xml:space="preserve">extensive </w:t>
            </w:r>
            <w:r>
              <w:rPr>
                <w:iCs/>
                <w:lang w:val="en-US"/>
              </w:rPr>
              <w:t>need.</w:t>
            </w:r>
          </w:p>
        </w:tc>
        <w:tc>
          <w:tcPr>
            <w:tcW w:w="4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41836D" w14:textId="77777777" w:rsidR="00AD0D6D" w:rsidRDefault="00AD0D6D" w:rsidP="00AD0D6D">
            <w:r w:rsidRPr="00AD0D6D">
              <w:rPr>
                <w:iCs/>
                <w:lang w:val="en-US"/>
              </w:rPr>
              <w:t xml:space="preserve">There is extensive evidence associating childhood social and emotional skills with improved outcomes at school and in later life (e.g., improved academic performance, attitudes, </w:t>
            </w:r>
            <w:proofErr w:type="spellStart"/>
            <w:r w:rsidRPr="00AD0D6D">
              <w:rPr>
                <w:iCs/>
                <w:lang w:val="en-US"/>
              </w:rPr>
              <w:t>behaviour</w:t>
            </w:r>
            <w:proofErr w:type="spellEnd"/>
            <w:r>
              <w:rPr>
                <w:iCs/>
                <w:lang w:val="en-US"/>
              </w:rPr>
              <w:t xml:space="preserve"> and relationships with peers):</w:t>
            </w:r>
            <w:r>
              <w:t xml:space="preserve"> </w:t>
            </w:r>
          </w:p>
          <w:p w14:paraId="7F5BBE1E" w14:textId="77777777" w:rsidR="00AD0D6D" w:rsidRDefault="00C86A79" w:rsidP="00AD0D6D">
            <w:pPr>
              <w:rPr>
                <w:iCs/>
                <w:lang w:val="en-US"/>
              </w:rPr>
            </w:pPr>
            <w:hyperlink r:id="rId23" w:history="1">
              <w:r w:rsidR="00AD0D6D" w:rsidRPr="00A0780A">
                <w:rPr>
                  <w:rStyle w:val="Hyperlink"/>
                  <w:iCs/>
                  <w:lang w:val="en-US"/>
                </w:rPr>
                <w:t>https://educationendowmentfoundation.org.uk/public/files/Publications/SEL/EEF_Social_and_Emotional_Learning.pdf</w:t>
              </w:r>
            </w:hyperlink>
          </w:p>
          <w:p w14:paraId="7D9976B6" w14:textId="77777777" w:rsidR="00AD0D6D" w:rsidRDefault="00AD0D6D" w:rsidP="00AD0D6D">
            <w:pPr>
              <w:rPr>
                <w:iCs/>
                <w:lang w:val="en-US"/>
              </w:rPr>
            </w:pPr>
          </w:p>
        </w:tc>
        <w:tc>
          <w:tcPr>
            <w:tcW w:w="1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6C2107" w14:textId="77777777" w:rsidR="00AD0D6D" w:rsidRDefault="00AD0D6D" w:rsidP="0098212C">
            <w:r>
              <w:t>5,6,7,8,9</w:t>
            </w:r>
          </w:p>
        </w:tc>
      </w:tr>
    </w:tbl>
    <w:p w14:paraId="1BA447F1" w14:textId="77777777" w:rsidR="009E50B8" w:rsidRDefault="009E50B8" w:rsidP="0098212C">
      <w:pPr>
        <w:rPr>
          <w:b/>
          <w:bCs/>
        </w:rPr>
      </w:pPr>
    </w:p>
    <w:p w14:paraId="0868A22D" w14:textId="77777777" w:rsidR="0098212C" w:rsidRPr="0098212C" w:rsidRDefault="0098212C" w:rsidP="0098212C">
      <w:pPr>
        <w:rPr>
          <w:b/>
          <w:bCs/>
        </w:rPr>
      </w:pPr>
      <w:r w:rsidRPr="0098212C">
        <w:rPr>
          <w:b/>
          <w:bCs/>
        </w:rPr>
        <w:t xml:space="preserve">Targeted academic support (for example, tutoring, one-to-one support structured interventions) </w:t>
      </w:r>
    </w:p>
    <w:p w14:paraId="31223F9C" w14:textId="14BE2311" w:rsidR="0098212C" w:rsidRPr="009E50B8" w:rsidRDefault="0098212C" w:rsidP="0098212C">
      <w:pPr>
        <w:rPr>
          <w:b/>
        </w:rPr>
      </w:pPr>
      <w:r w:rsidRPr="007D7097">
        <w:rPr>
          <w:b/>
        </w:rPr>
        <w:t xml:space="preserve">Budgeted cost: </w:t>
      </w:r>
      <w:r w:rsidR="00A81B38">
        <w:rPr>
          <w:b/>
        </w:rPr>
        <w:t>£1</w:t>
      </w:r>
      <w:r w:rsidR="00A76ECA">
        <w:rPr>
          <w:b/>
        </w:rPr>
        <w:t>3</w:t>
      </w:r>
      <w:r w:rsidR="00A81B38">
        <w:rPr>
          <w:b/>
        </w:rPr>
        <w:t>0,</w:t>
      </w:r>
      <w:r w:rsidR="00A76ECA">
        <w:rPr>
          <w:b/>
        </w:rPr>
        <w:t>5</w:t>
      </w:r>
      <w:r w:rsidR="00A81B38">
        <w:rPr>
          <w:b/>
        </w:rPr>
        <w:t>00</w:t>
      </w:r>
    </w:p>
    <w:tbl>
      <w:tblPr>
        <w:tblW w:w="5000" w:type="pct"/>
        <w:tblLayout w:type="fixed"/>
        <w:tblCellMar>
          <w:left w:w="10" w:type="dxa"/>
          <w:right w:w="10" w:type="dxa"/>
        </w:tblCellMar>
        <w:tblLook w:val="04A0" w:firstRow="1" w:lastRow="0" w:firstColumn="1" w:lastColumn="0" w:noHBand="0" w:noVBand="1"/>
      </w:tblPr>
      <w:tblGrid>
        <w:gridCol w:w="2826"/>
        <w:gridCol w:w="4718"/>
        <w:gridCol w:w="1472"/>
      </w:tblGrid>
      <w:tr w:rsidR="0098212C" w:rsidRPr="0098212C" w14:paraId="7D4CF9CF" w14:textId="77777777" w:rsidTr="002A4C08">
        <w:tc>
          <w:tcPr>
            <w:tcW w:w="289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9EF2468" w14:textId="77777777" w:rsidR="0098212C" w:rsidRPr="0098212C" w:rsidRDefault="0098212C" w:rsidP="0098212C">
            <w:pPr>
              <w:rPr>
                <w:b/>
              </w:rPr>
            </w:pPr>
            <w:r w:rsidRPr="0098212C">
              <w:rPr>
                <w:b/>
              </w:rPr>
              <w:t>Activity</w:t>
            </w:r>
          </w:p>
        </w:tc>
        <w:tc>
          <w:tcPr>
            <w:tcW w:w="484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654705D" w14:textId="77777777" w:rsidR="0098212C" w:rsidRPr="0098212C" w:rsidRDefault="0098212C" w:rsidP="0098212C">
            <w:pPr>
              <w:rPr>
                <w:b/>
              </w:rPr>
            </w:pPr>
            <w:r w:rsidRPr="0098212C">
              <w:rPr>
                <w:b/>
              </w:rPr>
              <w:t>Evidence that supports this approach</w:t>
            </w:r>
          </w:p>
        </w:tc>
        <w:tc>
          <w:tcPr>
            <w:tcW w:w="150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0677DAB" w14:textId="77777777" w:rsidR="0098212C" w:rsidRPr="0098212C" w:rsidRDefault="0098212C" w:rsidP="0098212C">
            <w:pPr>
              <w:rPr>
                <w:b/>
              </w:rPr>
            </w:pPr>
            <w:r w:rsidRPr="0098212C">
              <w:rPr>
                <w:b/>
              </w:rPr>
              <w:t>Challenge number(s) addressed</w:t>
            </w:r>
          </w:p>
        </w:tc>
      </w:tr>
      <w:tr w:rsidR="0098212C" w:rsidRPr="0098212C" w14:paraId="7F0CBFEA" w14:textId="77777777" w:rsidTr="002A4C08">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88199" w14:textId="1748EF3A" w:rsidR="0098212C" w:rsidRPr="0098212C" w:rsidRDefault="008267FE" w:rsidP="0098212C">
            <w:pPr>
              <w:rPr>
                <w:iCs/>
                <w:lang w:val="en-US"/>
              </w:rPr>
            </w:pPr>
            <w:r>
              <w:rPr>
                <w:iCs/>
                <w:lang w:val="en-US"/>
              </w:rPr>
              <w:t xml:space="preserve">Invest in the NELI </w:t>
            </w:r>
            <w:proofErr w:type="spellStart"/>
            <w:r>
              <w:rPr>
                <w:iCs/>
                <w:lang w:val="en-US"/>
              </w:rPr>
              <w:t>programme</w:t>
            </w:r>
            <w:proofErr w:type="spellEnd"/>
            <w:r>
              <w:rPr>
                <w:iCs/>
                <w:lang w:val="en-US"/>
              </w:rPr>
              <w:t xml:space="preserve"> through additional training   </w:t>
            </w:r>
            <w:r w:rsidR="0098212C" w:rsidRPr="0098212C">
              <w:rPr>
                <w:iCs/>
                <w:lang w:val="en-US"/>
              </w:rPr>
              <w:t xml:space="preserve"> to improve listening, narrative and vocabulary skills for disadvantaged pupils who have relatively low spoken</w:t>
            </w:r>
            <w:r w:rsidR="00981154">
              <w:rPr>
                <w:iCs/>
                <w:lang w:val="en-US"/>
              </w:rPr>
              <w:t xml:space="preserve"> </w:t>
            </w:r>
            <w:r w:rsidR="00981154" w:rsidRPr="008248D7">
              <w:rPr>
                <w:iCs/>
                <w:lang w:val="en-US"/>
              </w:rPr>
              <w:t>early</w:t>
            </w:r>
            <w:r w:rsidR="0098212C" w:rsidRPr="0098212C">
              <w:rPr>
                <w:iCs/>
                <w:lang w:val="en-US"/>
              </w:rPr>
              <w:t xml:space="preserve"> language skills.</w:t>
            </w:r>
          </w:p>
        </w:tc>
        <w:tc>
          <w:tcPr>
            <w:tcW w:w="4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086C1" w14:textId="63F91408" w:rsidR="0098212C" w:rsidRPr="0098212C" w:rsidRDefault="00F70210" w:rsidP="0098212C">
            <w:r w:rsidRPr="008248D7">
              <w:t>Early</w:t>
            </w:r>
            <w:r w:rsidR="0098212C" w:rsidRPr="0098212C">
              <w:t xml:space="preserve"> language interventions can have a positive impact on pupils’ language skills. Approaches that focus on speaking, listening and a combination of the two show positive impacts on attainment:</w:t>
            </w:r>
          </w:p>
          <w:p w14:paraId="60AE481E" w14:textId="77777777" w:rsidR="0098212C" w:rsidRPr="0098212C" w:rsidRDefault="00C86A79" w:rsidP="0098212C">
            <w:hyperlink r:id="rId24" w:history="1">
              <w:r w:rsidR="0098212C" w:rsidRPr="0098212C">
                <w:rPr>
                  <w:rStyle w:val="Hyperlink"/>
                </w:rPr>
                <w:t>Oral language interventions | EEF (educationendowmentfoundation.org.uk)</w:t>
              </w:r>
            </w:hyperlink>
          </w:p>
          <w:p w14:paraId="191194F9" w14:textId="77777777" w:rsidR="0098212C" w:rsidRPr="0098212C" w:rsidRDefault="0098212C" w:rsidP="0098212C"/>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CCFCD" w14:textId="77777777" w:rsidR="0098212C" w:rsidRPr="0098212C" w:rsidRDefault="0098212C" w:rsidP="0098212C">
            <w:r w:rsidRPr="0098212C">
              <w:t>1, 4</w:t>
            </w:r>
          </w:p>
        </w:tc>
      </w:tr>
      <w:tr w:rsidR="0098212C" w:rsidRPr="0098212C" w14:paraId="2343F065" w14:textId="77777777" w:rsidTr="002A4C08">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B690C" w14:textId="77777777" w:rsidR="0098212C" w:rsidRPr="0098212C" w:rsidRDefault="0098212C" w:rsidP="0098212C">
            <w:pPr>
              <w:rPr>
                <w:iCs/>
                <w:lang w:val="en-US"/>
              </w:rPr>
            </w:pPr>
            <w:r w:rsidRPr="0098212C">
              <w:rPr>
                <w:iCs/>
                <w:lang w:val="en-US"/>
              </w:rPr>
              <w:t xml:space="preserve">Additional phonics sessions targeted at disadvantaged pupils who require further phonics support. This will be delivered in collaboration with our local English hub.  </w:t>
            </w:r>
          </w:p>
        </w:tc>
        <w:tc>
          <w:tcPr>
            <w:tcW w:w="4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9C0B5" w14:textId="77777777" w:rsidR="0098212C" w:rsidRPr="0098212C" w:rsidRDefault="0098212C" w:rsidP="0098212C">
            <w:r w:rsidRPr="0098212C">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3F12C74E" w14:textId="77777777" w:rsidR="0098212C" w:rsidRDefault="00C86A79" w:rsidP="0098212C">
            <w:hyperlink r:id="rId25" w:history="1">
              <w:r w:rsidR="0098212C" w:rsidRPr="0098212C">
                <w:rPr>
                  <w:rStyle w:val="Hyperlink"/>
                </w:rPr>
                <w:t>Phonics | Toolkit Strand | Education Endowment Foundation | EEF</w:t>
              </w:r>
            </w:hyperlink>
          </w:p>
          <w:p w14:paraId="4E74D639" w14:textId="77777777" w:rsidR="002A4C08" w:rsidRDefault="002A4C08" w:rsidP="002A4C08">
            <w:r>
              <w:t>Interventions</w:t>
            </w:r>
          </w:p>
          <w:p w14:paraId="734B2F35" w14:textId="77777777" w:rsidR="002A4C08" w:rsidRPr="0098212C" w:rsidRDefault="00C86A79" w:rsidP="0098212C">
            <w:hyperlink r:id="rId26" w:history="1">
              <w:r w:rsidR="002A4C08" w:rsidRPr="00A0780A">
                <w:rPr>
                  <w:rStyle w:val="Hyperlink"/>
                </w:rPr>
                <w:t>https://educationendowmentfoundation.org.uk/education-evidence/teaching-learning-toolkit/teaching-assistant-interventions</w:t>
              </w:r>
            </w:hyperlink>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EF0AD" w14:textId="77777777" w:rsidR="0098212C" w:rsidRPr="0098212C" w:rsidRDefault="0098212C" w:rsidP="0098212C">
            <w:r w:rsidRPr="0098212C">
              <w:t>2</w:t>
            </w:r>
            <w:r w:rsidR="002A4C08">
              <w:t>,4</w:t>
            </w:r>
          </w:p>
        </w:tc>
      </w:tr>
      <w:tr w:rsidR="001C75D7" w:rsidRPr="0098212C" w14:paraId="444AE4E4" w14:textId="77777777" w:rsidTr="002A4C08">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A1A7A" w14:textId="77777777" w:rsidR="001C75D7" w:rsidRDefault="001C75D7" w:rsidP="00605D6C">
            <w:pPr>
              <w:rPr>
                <w:iCs/>
                <w:lang w:val="en-US"/>
              </w:rPr>
            </w:pPr>
            <w:r>
              <w:rPr>
                <w:iCs/>
                <w:lang w:val="en-US"/>
              </w:rPr>
              <w:lastRenderedPageBreak/>
              <w:t xml:space="preserve">Whole staff training on </w:t>
            </w:r>
            <w:r w:rsidR="00425B76">
              <w:rPr>
                <w:iCs/>
                <w:lang w:val="en-US"/>
              </w:rPr>
              <w:t xml:space="preserve">developing </w:t>
            </w:r>
            <w:r>
              <w:rPr>
                <w:iCs/>
                <w:lang w:val="en-US"/>
              </w:rPr>
              <w:t>working memory</w:t>
            </w:r>
          </w:p>
        </w:tc>
        <w:tc>
          <w:tcPr>
            <w:tcW w:w="4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66E40" w14:textId="77777777" w:rsidR="001C75D7" w:rsidRDefault="00CD10D3" w:rsidP="00425B76">
            <w:r>
              <w:t xml:space="preserve">Recommendation </w:t>
            </w:r>
            <w:proofErr w:type="gramStart"/>
            <w:r>
              <w:t>from  the</w:t>
            </w:r>
            <w:proofErr w:type="gramEnd"/>
            <w:r>
              <w:t xml:space="preserve"> LA </w:t>
            </w:r>
            <w:r w:rsidR="00425B76">
              <w:t>Senior Specialist Learning Support Officer</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03C02" w14:textId="77777777" w:rsidR="001C75D7" w:rsidRDefault="001C75D7" w:rsidP="00605D6C">
            <w:r>
              <w:t>2,3,4</w:t>
            </w:r>
          </w:p>
        </w:tc>
      </w:tr>
    </w:tbl>
    <w:p w14:paraId="083BC6F3" w14:textId="77777777" w:rsidR="002A4C08" w:rsidRDefault="002A4C08" w:rsidP="0098212C">
      <w:pPr>
        <w:rPr>
          <w:b/>
          <w:bCs/>
        </w:rPr>
      </w:pPr>
    </w:p>
    <w:p w14:paraId="784C186A" w14:textId="77777777" w:rsidR="0098212C" w:rsidRPr="0098212C" w:rsidRDefault="0098212C" w:rsidP="0098212C">
      <w:pPr>
        <w:rPr>
          <w:b/>
          <w:bCs/>
        </w:rPr>
      </w:pPr>
      <w:r w:rsidRPr="0098212C">
        <w:rPr>
          <w:b/>
          <w:bCs/>
        </w:rPr>
        <w:t>Wider strategies (for example, related to attendance, behaviour, wellbeing)</w:t>
      </w:r>
    </w:p>
    <w:p w14:paraId="1A5186EF" w14:textId="05CAAB77" w:rsidR="0098212C" w:rsidRPr="009E50B8" w:rsidRDefault="0098212C" w:rsidP="0098212C">
      <w:pPr>
        <w:rPr>
          <w:b/>
        </w:rPr>
      </w:pPr>
      <w:r w:rsidRPr="00DF5798">
        <w:rPr>
          <w:b/>
        </w:rPr>
        <w:t xml:space="preserve">Budgeted cost: </w:t>
      </w:r>
      <w:r w:rsidRPr="00DF5798">
        <w:rPr>
          <w:b/>
          <w:bCs/>
        </w:rPr>
        <w:t>£</w:t>
      </w:r>
      <w:r w:rsidR="00A81B38">
        <w:rPr>
          <w:b/>
          <w:bCs/>
        </w:rPr>
        <w:t>34,392</w:t>
      </w:r>
    </w:p>
    <w:tbl>
      <w:tblPr>
        <w:tblW w:w="5000" w:type="pct"/>
        <w:tblLayout w:type="fixed"/>
        <w:tblCellMar>
          <w:left w:w="10" w:type="dxa"/>
          <w:right w:w="10" w:type="dxa"/>
        </w:tblCellMar>
        <w:tblLook w:val="04A0" w:firstRow="1" w:lastRow="0" w:firstColumn="1" w:lastColumn="0" w:noHBand="0" w:noVBand="1"/>
      </w:tblPr>
      <w:tblGrid>
        <w:gridCol w:w="4032"/>
        <w:gridCol w:w="3522"/>
        <w:gridCol w:w="1462"/>
      </w:tblGrid>
      <w:tr w:rsidR="0098212C" w:rsidRPr="0098212C" w14:paraId="61610E13" w14:textId="77777777" w:rsidTr="001C75D7">
        <w:tc>
          <w:tcPr>
            <w:tcW w:w="41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4B22C02" w14:textId="77777777" w:rsidR="0098212C" w:rsidRPr="0098212C" w:rsidRDefault="0098212C" w:rsidP="0098212C">
            <w:pPr>
              <w:rPr>
                <w:b/>
              </w:rPr>
            </w:pPr>
            <w:r w:rsidRPr="0098212C">
              <w:rPr>
                <w:b/>
              </w:rPr>
              <w:t>Activity</w:t>
            </w:r>
          </w:p>
        </w:tc>
        <w:tc>
          <w:tcPr>
            <w:tcW w:w="36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24F1083" w14:textId="77777777" w:rsidR="0098212C" w:rsidRPr="0098212C" w:rsidRDefault="0098212C" w:rsidP="0098212C">
            <w:pPr>
              <w:rPr>
                <w:b/>
              </w:rPr>
            </w:pPr>
            <w:r w:rsidRPr="0098212C">
              <w:rPr>
                <w:b/>
              </w:rPr>
              <w:t>Evidence that supports this approach</w:t>
            </w:r>
          </w:p>
        </w:tc>
        <w:tc>
          <w:tcPr>
            <w:tcW w:w="149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E392584" w14:textId="77777777" w:rsidR="0098212C" w:rsidRPr="0098212C" w:rsidRDefault="0098212C" w:rsidP="0098212C">
            <w:pPr>
              <w:rPr>
                <w:b/>
              </w:rPr>
            </w:pPr>
            <w:r w:rsidRPr="0098212C">
              <w:rPr>
                <w:b/>
              </w:rPr>
              <w:t>Challenge number(s) addressed</w:t>
            </w:r>
          </w:p>
        </w:tc>
      </w:tr>
      <w:tr w:rsidR="0098212C" w:rsidRPr="0098212C" w14:paraId="40B93E1D" w14:textId="77777777" w:rsidTr="001C75D7">
        <w:tc>
          <w:tcPr>
            <w:tcW w:w="4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5C691" w14:textId="77777777" w:rsidR="0098212C" w:rsidRPr="0098212C" w:rsidRDefault="002A4C08" w:rsidP="0098212C">
            <w:pPr>
              <w:rPr>
                <w:iCs/>
                <w:lang w:val="en-US"/>
              </w:rPr>
            </w:pPr>
            <w:r>
              <w:rPr>
                <w:iCs/>
                <w:lang w:val="en-US"/>
              </w:rPr>
              <w:t>R</w:t>
            </w:r>
            <w:r w:rsidR="00622227">
              <w:rPr>
                <w:iCs/>
                <w:lang w:val="en-US"/>
              </w:rPr>
              <w:t>elaunch of the behavior policy and r</w:t>
            </w:r>
            <w:r>
              <w:rPr>
                <w:iCs/>
                <w:lang w:val="en-US"/>
              </w:rPr>
              <w:t xml:space="preserve">evisit </w:t>
            </w:r>
            <w:r w:rsidR="00A363FB">
              <w:rPr>
                <w:iCs/>
                <w:lang w:val="en-US"/>
              </w:rPr>
              <w:t>w</w:t>
            </w:r>
            <w:r w:rsidR="0098212C" w:rsidRPr="0098212C">
              <w:rPr>
                <w:iCs/>
                <w:lang w:val="en-US"/>
              </w:rPr>
              <w:t xml:space="preserve">hole staff training on </w:t>
            </w:r>
            <w:proofErr w:type="spellStart"/>
            <w:r w:rsidR="0098212C" w:rsidRPr="0098212C">
              <w:rPr>
                <w:iCs/>
                <w:lang w:val="en-US"/>
              </w:rPr>
              <w:t>behaviour</w:t>
            </w:r>
            <w:proofErr w:type="spellEnd"/>
            <w:r w:rsidR="0098212C" w:rsidRPr="0098212C">
              <w:rPr>
                <w:iCs/>
                <w:lang w:val="en-US"/>
              </w:rPr>
              <w:t xml:space="preserve"> management and anti-bullying approaches with the aim of developing our school ethos and improving </w:t>
            </w:r>
            <w:proofErr w:type="spellStart"/>
            <w:r w:rsidR="0098212C" w:rsidRPr="0098212C">
              <w:rPr>
                <w:iCs/>
                <w:lang w:val="en-US"/>
              </w:rPr>
              <w:t>behaviour</w:t>
            </w:r>
            <w:proofErr w:type="spellEnd"/>
            <w:r w:rsidR="0098212C" w:rsidRPr="0098212C">
              <w:rPr>
                <w:iCs/>
                <w:lang w:val="en-US"/>
              </w:rPr>
              <w:t xml:space="preserve"> across school.</w:t>
            </w: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F9672" w14:textId="77777777" w:rsidR="0098212C" w:rsidRPr="0098212C" w:rsidRDefault="0098212C" w:rsidP="0098212C">
            <w:r w:rsidRPr="0098212C">
              <w:t>Both targeted interventions and universal approaches can have positive overall effects:</w:t>
            </w:r>
          </w:p>
          <w:p w14:paraId="03BB713A" w14:textId="77777777" w:rsidR="0098212C" w:rsidRPr="0098212C" w:rsidRDefault="00C86A79" w:rsidP="0098212C">
            <w:hyperlink r:id="rId27" w:history="1">
              <w:r w:rsidR="0098212C" w:rsidRPr="0098212C">
                <w:rPr>
                  <w:rStyle w:val="Hyperlink"/>
                </w:rPr>
                <w:t>Behaviour interventions | EEF (educationendowmentfoundation.org.uk)</w:t>
              </w:r>
            </w:hyperlink>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3816E" w14:textId="77777777" w:rsidR="0098212C" w:rsidRPr="0098212C" w:rsidRDefault="002A4C08" w:rsidP="0098212C">
            <w:r>
              <w:t>4,</w:t>
            </w:r>
            <w:r w:rsidR="0098212C" w:rsidRPr="0098212C">
              <w:t>5</w:t>
            </w:r>
            <w:r>
              <w:t>,7,8</w:t>
            </w:r>
          </w:p>
        </w:tc>
      </w:tr>
      <w:tr w:rsidR="00A363FB" w:rsidRPr="0098212C" w14:paraId="5BF64BC7" w14:textId="77777777" w:rsidTr="001C75D7">
        <w:tc>
          <w:tcPr>
            <w:tcW w:w="4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0C09E" w14:textId="77777777" w:rsidR="00A363FB" w:rsidRDefault="00A363FB" w:rsidP="0098212C">
            <w:pPr>
              <w:rPr>
                <w:iCs/>
                <w:lang w:val="en-US"/>
              </w:rPr>
            </w:pPr>
            <w:r>
              <w:rPr>
                <w:iCs/>
                <w:lang w:val="en-US"/>
              </w:rPr>
              <w:t xml:space="preserve">Whole staff training on emotion coaching </w:t>
            </w: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A3E52" w14:textId="77777777" w:rsidR="00A363FB" w:rsidRPr="0098212C" w:rsidRDefault="00CD10D3" w:rsidP="0098212C">
            <w:r>
              <w:t xml:space="preserve">On recommendation from Wakefield LA </w:t>
            </w:r>
            <w:r w:rsidR="00A363FB">
              <w:t>Educational Psychologist</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5B039" w14:textId="77777777" w:rsidR="00A363FB" w:rsidRDefault="00A363FB" w:rsidP="0098212C">
            <w:r>
              <w:t>5,7,8</w:t>
            </w:r>
          </w:p>
        </w:tc>
      </w:tr>
      <w:tr w:rsidR="0098212C" w:rsidRPr="0098212C" w14:paraId="52EA768F" w14:textId="77777777" w:rsidTr="001C75D7">
        <w:tc>
          <w:tcPr>
            <w:tcW w:w="4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5FFAA" w14:textId="77777777" w:rsidR="0098212C" w:rsidRPr="0098212C" w:rsidRDefault="0098212C" w:rsidP="0098212C">
            <w:pPr>
              <w:rPr>
                <w:iCs/>
                <w:lang w:val="en-US"/>
              </w:rPr>
            </w:pPr>
            <w:r w:rsidRPr="0098212C">
              <w:rPr>
                <w:iCs/>
                <w:lang w:val="en-US"/>
              </w:rPr>
              <w:t xml:space="preserve">Embedding principles of good practice set out in the DfE’s </w:t>
            </w:r>
            <w:hyperlink r:id="rId28" w:history="1">
              <w:r w:rsidRPr="0098212C">
                <w:rPr>
                  <w:rStyle w:val="Hyperlink"/>
                  <w:iCs/>
                  <w:lang w:val="en-US"/>
                </w:rPr>
                <w:t>Improving School Attendance</w:t>
              </w:r>
            </w:hyperlink>
            <w:r w:rsidRPr="0098212C">
              <w:rPr>
                <w:iCs/>
                <w:lang w:val="en-US"/>
              </w:rPr>
              <w:t xml:space="preserve"> advice.</w:t>
            </w:r>
          </w:p>
          <w:p w14:paraId="50EDE596" w14:textId="77777777" w:rsidR="0098212C" w:rsidRPr="0098212C" w:rsidRDefault="00A456CD" w:rsidP="0098212C">
            <w:pPr>
              <w:rPr>
                <w:iCs/>
                <w:lang w:val="en-US"/>
              </w:rPr>
            </w:pPr>
            <w:r>
              <w:rPr>
                <w:iCs/>
                <w:lang w:val="en-US"/>
              </w:rPr>
              <w:t xml:space="preserve"> </w:t>
            </w:r>
            <w:r w:rsidR="0098212C" w:rsidRPr="0098212C">
              <w:rPr>
                <w:iCs/>
                <w:lang w:val="en-US"/>
              </w:rPr>
              <w:t xml:space="preserve"> </w:t>
            </w: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D9A9C" w14:textId="77777777" w:rsidR="0098212C" w:rsidRPr="0098212C" w:rsidRDefault="0098212C" w:rsidP="0098212C">
            <w:r w:rsidRPr="0098212C">
              <w:t xml:space="preserve">The DfE guidance has been informed by engagement with schools that have significantly reduced levels of absence and persistent absence. </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13AD3" w14:textId="77777777" w:rsidR="0098212C" w:rsidRPr="0098212C" w:rsidRDefault="0098212C" w:rsidP="0098212C">
            <w:r w:rsidRPr="0098212C">
              <w:t>6</w:t>
            </w:r>
          </w:p>
        </w:tc>
      </w:tr>
      <w:tr w:rsidR="00A363FB" w:rsidRPr="0098212C" w14:paraId="2B28496A" w14:textId="77777777" w:rsidTr="001C75D7">
        <w:tc>
          <w:tcPr>
            <w:tcW w:w="4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337DA" w14:textId="77777777" w:rsidR="00A363FB" w:rsidRPr="0098212C" w:rsidRDefault="009E50B8" w:rsidP="009E50B8">
            <w:pPr>
              <w:rPr>
                <w:iCs/>
                <w:lang w:val="en-US"/>
              </w:rPr>
            </w:pPr>
            <w:r>
              <w:rPr>
                <w:iCs/>
                <w:lang w:val="en-US"/>
              </w:rPr>
              <w:t xml:space="preserve">Further </w:t>
            </w:r>
            <w:r w:rsidR="00A363FB">
              <w:rPr>
                <w:iCs/>
                <w:lang w:val="en-US"/>
              </w:rPr>
              <w:t>MHFA accreditation due to staff l</w:t>
            </w:r>
            <w:r>
              <w:rPr>
                <w:iCs/>
                <w:lang w:val="en-US"/>
              </w:rPr>
              <w:t xml:space="preserve">eaving and the need to train </w:t>
            </w:r>
            <w:r w:rsidR="00622227">
              <w:rPr>
                <w:iCs/>
                <w:lang w:val="en-US"/>
              </w:rPr>
              <w:t>additional</w:t>
            </w:r>
            <w:r w:rsidR="00A363FB">
              <w:rPr>
                <w:iCs/>
                <w:lang w:val="en-US"/>
              </w:rPr>
              <w:t xml:space="preserve"> </w:t>
            </w:r>
            <w:r>
              <w:rPr>
                <w:iCs/>
                <w:lang w:val="en-US"/>
              </w:rPr>
              <w:t>members</w:t>
            </w:r>
            <w:r w:rsidR="00A363FB">
              <w:rPr>
                <w:iCs/>
                <w:lang w:val="en-US"/>
              </w:rPr>
              <w:t xml:space="preserve"> of staff</w:t>
            </w: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248E3" w14:textId="77777777" w:rsidR="00A363FB" w:rsidRPr="0098212C" w:rsidRDefault="00C86A79" w:rsidP="0098212C">
            <w:hyperlink r:id="rId29" w:history="1">
              <w:r w:rsidR="001C75D7" w:rsidRPr="0098212C">
                <w:rPr>
                  <w:rStyle w:val="Hyperlink"/>
                </w:rPr>
                <w:t>DfE grant to train a senior mental health lead</w:t>
              </w:r>
            </w:hyperlink>
            <w:r w:rsidR="001C75D7">
              <w:t xml:space="preserve"> </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30A20" w14:textId="77777777" w:rsidR="00A363FB" w:rsidRPr="0098212C" w:rsidRDefault="00A363FB" w:rsidP="0098212C">
            <w:r>
              <w:t>5,7,8</w:t>
            </w:r>
          </w:p>
        </w:tc>
      </w:tr>
      <w:tr w:rsidR="00A363FB" w:rsidRPr="0098212C" w14:paraId="0A664DD2" w14:textId="77777777" w:rsidTr="001C75D7">
        <w:tc>
          <w:tcPr>
            <w:tcW w:w="4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52E8A" w14:textId="77777777" w:rsidR="00A363FB" w:rsidRDefault="00622227" w:rsidP="0098212C">
            <w:pPr>
              <w:rPr>
                <w:iCs/>
                <w:lang w:val="en-US"/>
              </w:rPr>
            </w:pPr>
            <w:r>
              <w:rPr>
                <w:iCs/>
                <w:lang w:val="en-US"/>
              </w:rPr>
              <w:t xml:space="preserve">Deputy Headteacher for Safeguarding and Assistant Headteacher for Inclusion will continue to lead the </w:t>
            </w:r>
            <w:r w:rsidR="009E50B8">
              <w:rPr>
                <w:iCs/>
                <w:lang w:val="en-US"/>
              </w:rPr>
              <w:t xml:space="preserve">intensive daily </w:t>
            </w:r>
            <w:r>
              <w:rPr>
                <w:iCs/>
                <w:lang w:val="en-US"/>
              </w:rPr>
              <w:t>support and sign posting for parents.</w:t>
            </w: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74577" w14:textId="77777777" w:rsidR="001C75D7" w:rsidRDefault="001C75D7" w:rsidP="001C75D7">
            <w:r w:rsidRPr="0098212C">
              <w:t>There is extensive evidence associating childhood social and emotional skills with improved outcomes at school and in later life (e.g., improved academic performance, attitudes, behaviour</w:t>
            </w:r>
            <w:r>
              <w:t xml:space="preserve"> and relationships with peers): </w:t>
            </w:r>
          </w:p>
          <w:p w14:paraId="76A0BE31" w14:textId="77777777" w:rsidR="00A363FB" w:rsidRPr="0098212C" w:rsidRDefault="00C86A79" w:rsidP="001C75D7">
            <w:hyperlink r:id="rId30" w:history="1">
              <w:r w:rsidR="001C75D7" w:rsidRPr="0098212C">
                <w:rPr>
                  <w:rStyle w:val="Hyperlink"/>
                </w:rPr>
                <w:t>EEF_Social_and_Emotional_Learning.pdf(educationendowmentfoundation.org.uk)</w:t>
              </w:r>
            </w:hyperlink>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D6773" w14:textId="77777777" w:rsidR="00A363FB" w:rsidRDefault="00A363FB" w:rsidP="0098212C">
            <w:r>
              <w:t>9</w:t>
            </w:r>
          </w:p>
        </w:tc>
      </w:tr>
      <w:tr w:rsidR="00A363FB" w:rsidRPr="0098212C" w14:paraId="0F43DCB7" w14:textId="77777777" w:rsidTr="001C75D7">
        <w:tc>
          <w:tcPr>
            <w:tcW w:w="4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416C2" w14:textId="77777777" w:rsidR="00A363FB" w:rsidRDefault="00A363FB" w:rsidP="0098212C">
            <w:pPr>
              <w:rPr>
                <w:iCs/>
                <w:lang w:val="en-US"/>
              </w:rPr>
            </w:pPr>
            <w:r>
              <w:rPr>
                <w:iCs/>
                <w:lang w:val="en-US"/>
              </w:rPr>
              <w:lastRenderedPageBreak/>
              <w:t xml:space="preserve">Appointment of </w:t>
            </w:r>
            <w:r w:rsidR="001E421F">
              <w:rPr>
                <w:iCs/>
                <w:lang w:val="en-US"/>
              </w:rPr>
              <w:t xml:space="preserve">Inclusion Mentor </w:t>
            </w:r>
            <w:r>
              <w:rPr>
                <w:iCs/>
                <w:lang w:val="en-US"/>
              </w:rPr>
              <w:t xml:space="preserve"> </w:t>
            </w:r>
            <w:r w:rsidR="001E421F">
              <w:rPr>
                <w:iCs/>
                <w:lang w:val="en-US"/>
              </w:rPr>
              <w:t xml:space="preserve"> </w:t>
            </w: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9BD0F" w14:textId="77777777" w:rsidR="001C75D7" w:rsidRPr="0098212C" w:rsidRDefault="001C75D7" w:rsidP="001C75D7">
            <w:r w:rsidRPr="0098212C">
              <w:t>Both targeted interventions and universal approaches can have positive overall effects:</w:t>
            </w:r>
          </w:p>
          <w:p w14:paraId="4CC6C536" w14:textId="77777777" w:rsidR="00A363FB" w:rsidRPr="0098212C" w:rsidRDefault="00C86A79" w:rsidP="001C75D7">
            <w:hyperlink r:id="rId31" w:history="1">
              <w:r w:rsidR="001C75D7" w:rsidRPr="0098212C">
                <w:rPr>
                  <w:rStyle w:val="Hyperlink"/>
                </w:rPr>
                <w:t>Behaviour interventions | EEF (educationendowmentfoundation.org.uk)</w:t>
              </w:r>
            </w:hyperlink>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87D84" w14:textId="77777777" w:rsidR="00A363FB" w:rsidRDefault="00A363FB" w:rsidP="0098212C">
            <w:r>
              <w:t>5,7,8</w:t>
            </w:r>
          </w:p>
        </w:tc>
      </w:tr>
      <w:tr w:rsidR="0098212C" w:rsidRPr="0098212C" w14:paraId="6DB52DA7" w14:textId="77777777" w:rsidTr="001C75D7">
        <w:tc>
          <w:tcPr>
            <w:tcW w:w="4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70EF5" w14:textId="77777777" w:rsidR="0098212C" w:rsidRPr="0098212C" w:rsidRDefault="0098212C" w:rsidP="0098212C">
            <w:pPr>
              <w:rPr>
                <w:iCs/>
                <w:lang w:val="en-US"/>
              </w:rPr>
            </w:pPr>
            <w:r w:rsidRPr="0098212C">
              <w:rPr>
                <w:iCs/>
                <w:lang w:val="en-US"/>
              </w:rPr>
              <w:t>Contingency fund for acute issues.</w:t>
            </w:r>
          </w:p>
          <w:p w14:paraId="27858E02" w14:textId="77777777" w:rsidR="0098212C" w:rsidRPr="0098212C" w:rsidRDefault="0098212C" w:rsidP="0098212C">
            <w:pPr>
              <w:rPr>
                <w:iCs/>
                <w:lang w:val="en-US"/>
              </w:rPr>
            </w:pP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598F9" w14:textId="77777777" w:rsidR="0098212C" w:rsidRPr="0098212C" w:rsidRDefault="0098212C" w:rsidP="0098212C">
            <w:r w:rsidRPr="0098212C">
              <w:t>Based on our experiences and those of similar schools to ours, we have identified a need to set a small amount of funding aside to respond quickly to needs that have not yet been identified.</w:t>
            </w:r>
          </w:p>
        </w:tc>
        <w:tc>
          <w:tcPr>
            <w:tcW w:w="1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A75C6" w14:textId="77777777" w:rsidR="0098212C" w:rsidRPr="0098212C" w:rsidRDefault="0098212C" w:rsidP="0098212C">
            <w:r w:rsidRPr="0098212C">
              <w:t>All</w:t>
            </w:r>
          </w:p>
        </w:tc>
      </w:tr>
    </w:tbl>
    <w:p w14:paraId="5AA56244" w14:textId="77777777" w:rsidR="0098212C" w:rsidRPr="0098212C" w:rsidRDefault="0098212C" w:rsidP="0098212C">
      <w:pPr>
        <w:rPr>
          <w:b/>
          <w:bCs/>
        </w:rPr>
      </w:pPr>
    </w:p>
    <w:p w14:paraId="15B7BB9F" w14:textId="0ED12691" w:rsidR="0098212C" w:rsidRPr="0098212C" w:rsidRDefault="0098212C" w:rsidP="0098212C">
      <w:r w:rsidRPr="00DF5798">
        <w:rPr>
          <w:b/>
          <w:bCs/>
        </w:rPr>
        <w:t>Total budgeted cost: £</w:t>
      </w:r>
      <w:r w:rsidR="00F70B1C">
        <w:rPr>
          <w:b/>
          <w:bCs/>
        </w:rPr>
        <w:t>38</w:t>
      </w:r>
      <w:r w:rsidR="00A76ECA">
        <w:rPr>
          <w:b/>
          <w:bCs/>
        </w:rPr>
        <w:t>3</w:t>
      </w:r>
      <w:r w:rsidR="00F70B1C">
        <w:rPr>
          <w:b/>
          <w:bCs/>
        </w:rPr>
        <w:t>,</w:t>
      </w:r>
      <w:r w:rsidR="00A76ECA">
        <w:rPr>
          <w:b/>
          <w:bCs/>
        </w:rPr>
        <w:t>8</w:t>
      </w:r>
      <w:r w:rsidR="00F70B1C">
        <w:rPr>
          <w:b/>
          <w:bCs/>
        </w:rPr>
        <w:t>92</w:t>
      </w:r>
    </w:p>
    <w:p w14:paraId="44A59256" w14:textId="77777777" w:rsidR="0098212C" w:rsidRPr="0098212C" w:rsidRDefault="0098212C" w:rsidP="0098212C">
      <w:pPr>
        <w:rPr>
          <w:b/>
        </w:rPr>
      </w:pPr>
      <w:r w:rsidRPr="0098212C">
        <w:rPr>
          <w:b/>
        </w:rPr>
        <w:t>Part B: Review of the previous academic year</w:t>
      </w:r>
    </w:p>
    <w:p w14:paraId="1EEBC356" w14:textId="77777777" w:rsidR="0098212C" w:rsidRPr="0098212C" w:rsidRDefault="0098212C" w:rsidP="00A44227">
      <w:pPr>
        <w:tabs>
          <w:tab w:val="center" w:pos="4513"/>
        </w:tabs>
        <w:rPr>
          <w:b/>
        </w:rPr>
      </w:pPr>
      <w:r w:rsidRPr="0098212C">
        <w:rPr>
          <w:b/>
        </w:rPr>
        <w:t>Outcomes for disadvantaged pupils</w:t>
      </w:r>
      <w:r w:rsidR="00A44227">
        <w:rPr>
          <w:b/>
        </w:rPr>
        <w:tab/>
      </w:r>
    </w:p>
    <w:tbl>
      <w:tblPr>
        <w:tblpPr w:leftFromText="180" w:rightFromText="180" w:vertAnchor="text" w:horzAnchor="margin" w:tblpY="269"/>
        <w:tblW w:w="9493" w:type="dxa"/>
        <w:tblCellMar>
          <w:left w:w="10" w:type="dxa"/>
          <w:right w:w="10" w:type="dxa"/>
        </w:tblCellMar>
        <w:tblLook w:val="04A0" w:firstRow="1" w:lastRow="0" w:firstColumn="1" w:lastColumn="0" w:noHBand="0" w:noVBand="1"/>
      </w:tblPr>
      <w:tblGrid>
        <w:gridCol w:w="9493"/>
      </w:tblGrid>
      <w:tr w:rsidR="0098212C" w:rsidRPr="0098212C" w14:paraId="62377685" w14:textId="77777777" w:rsidTr="00E4573A">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188C4" w14:textId="77777777" w:rsidR="0098212C" w:rsidRPr="0098212C" w:rsidRDefault="0098212C" w:rsidP="00170851">
            <w:r w:rsidRPr="0098212C">
              <w:t>We have analysed the performance of our school’s disadvantaged pupils during the 2021/22 academic year using key stage 1 and 2 performance data, phonics check results and our own internal assessments.</w:t>
            </w:r>
            <w:r w:rsidR="00D80445">
              <w:t xml:space="preserve"> This has been undertaken with caution recognising and reflecting upon the DfE guidance that</w:t>
            </w:r>
            <w:r w:rsidR="00170851">
              <w:t xml:space="preserve">; </w:t>
            </w:r>
            <w:r w:rsidR="00170851" w:rsidRPr="00622227">
              <w:rPr>
                <w:b/>
                <w:i/>
              </w:rPr>
              <w:t xml:space="preserve">‘Pupils included in the 2021/22 school and college performance measures will have had an uneven disruption to their learning. We, therefore, recommend not making direct comparisons between </w:t>
            </w:r>
            <w:r w:rsidR="009E50B8" w:rsidRPr="00622227">
              <w:rPr>
                <w:b/>
                <w:i/>
              </w:rPr>
              <w:t>schools</w:t>
            </w:r>
            <w:r w:rsidR="00170851" w:rsidRPr="00622227">
              <w:rPr>
                <w:b/>
                <w:i/>
              </w:rPr>
              <w:t xml:space="preserve"> or with data from previous years. Comparisons with local and national averages can be made cautiously to put an individual school or college’s results into context.’</w:t>
            </w:r>
          </w:p>
          <w:p w14:paraId="16D8AED5" w14:textId="77777777" w:rsidR="0098212C" w:rsidRPr="0098212C" w:rsidRDefault="0098212C" w:rsidP="0098212C">
            <w:r w:rsidRPr="0098212C">
              <w:t xml:space="preserve">Schools are not required to publish their 2022 key stage 2 results as DfE is not publishing this data. This is because statutory assessments returned for the first time since 2019, without adaptations, after disruption caused by the pandemic. This is a transitional arrangement for one year only, and DfE plans to publish key stage 2 school performance data for 2023. </w:t>
            </w:r>
          </w:p>
          <w:p w14:paraId="11B7DCE0" w14:textId="77777777" w:rsidR="0098212C" w:rsidRPr="0098212C" w:rsidRDefault="0098212C" w:rsidP="0098212C">
            <w:r w:rsidRPr="0098212C">
              <w:t>DfE has shared our school’s 2022 performance data with us, to help us better understand the impact of the pandemic on our pupils and how this varies between different groups of pupils. COVID-19 had a significant impact on the education system and this disruption affected schools and pupils differently, and because of this, it is more difficult to interpret why the results are as they are using the data alone.</w:t>
            </w:r>
            <w:r w:rsidR="00622227">
              <w:t xml:space="preserve"> Our internal intelligence over time confirms that high quality teaching and learning experiences alone do not translate to high performance. The inclusive culture and ethos</w:t>
            </w:r>
            <w:r w:rsidR="00256700">
              <w:t xml:space="preserve"> of the school</w:t>
            </w:r>
            <w:r w:rsidR="00622227">
              <w:t xml:space="preserve">, strength of relationships, breadth of staff expertise in delivering interventions (academic and Social Emotional Learning) combined with high quality teaching and learning </w:t>
            </w:r>
            <w:r w:rsidR="00256700">
              <w:t xml:space="preserve">do </w:t>
            </w:r>
            <w:r w:rsidR="009E50B8">
              <w:t xml:space="preserve">however </w:t>
            </w:r>
            <w:r w:rsidR="00622227">
              <w:t xml:space="preserve">equate to the high standards displayed prior to the pandemic. </w:t>
            </w:r>
            <w:r w:rsidR="00256700">
              <w:t xml:space="preserve">It is therefore wise to recognise that during the pandemic, pupils did not receive (due to absence, illness and partial closure) the well-rounded package of teaching, learning </w:t>
            </w:r>
            <w:r w:rsidR="00256700">
              <w:lastRenderedPageBreak/>
              <w:t xml:space="preserve">and support recognised as resulting in the highest standards and had limited opportunity to access their </w:t>
            </w:r>
            <w:r w:rsidR="00151B0C">
              <w:t xml:space="preserve">full </w:t>
            </w:r>
            <w:r w:rsidR="00F73E3B">
              <w:t xml:space="preserve">extended </w:t>
            </w:r>
            <w:r w:rsidR="00256700">
              <w:t>curriculum offer and entitlement as in previous years.</w:t>
            </w:r>
          </w:p>
          <w:p w14:paraId="55A13964" w14:textId="77777777" w:rsidR="00256700" w:rsidRDefault="0098212C" w:rsidP="0098212C">
            <w:r w:rsidRPr="0098212C">
              <w:t xml:space="preserve">To help us gauge the performance of our disadvantaged pupils we compared our results to those for disadvantaged and non-disadvantaged pupils at a national and regional level (although these comparisons are to be considered with caution given the caveats stated above). We also looked at these comparisons using pre-pandemic </w:t>
            </w:r>
            <w:r w:rsidR="007A29B2">
              <w:t>results</w:t>
            </w:r>
            <w:r w:rsidRPr="0098212C">
              <w:t xml:space="preserve"> for 2019, in order to assess how the performance of our disadvantaged pupils has changed during this period. </w:t>
            </w:r>
          </w:p>
          <w:p w14:paraId="25239E20" w14:textId="77777777" w:rsidR="0098212C" w:rsidRPr="0098212C" w:rsidRDefault="00605D6C" w:rsidP="0098212C">
            <w:r>
              <w:t>EEF Families data for 2019 demonstrates clearly that attainment for non- disadvantaged and disadvantaged children</w:t>
            </w:r>
            <w:r w:rsidR="00D80445">
              <w:t xml:space="preserve"> at Sandal Castle</w:t>
            </w:r>
            <w:r w:rsidR="00170851">
              <w:t xml:space="preserve"> was </w:t>
            </w:r>
            <w:r w:rsidR="00D80445">
              <w:t>significantly above National all</w:t>
            </w:r>
            <w:r>
              <w:t>; Expected standard – Non 82%, Disadvantaged 81%, Reading Non 88%, Disadvantaged 84%, Writing Non 88%, Disadvantaged 84%, Maths Non 86%, Disadvantaged 81%.</w:t>
            </w:r>
            <w:r w:rsidR="00170851">
              <w:t xml:space="preserve">The </w:t>
            </w:r>
            <w:r w:rsidR="009E50B8">
              <w:t xml:space="preserve">significantly higher than National </w:t>
            </w:r>
            <w:r w:rsidR="00256700">
              <w:t xml:space="preserve">attainment of our disadvantaged </w:t>
            </w:r>
            <w:r w:rsidR="009E50B8">
              <w:t xml:space="preserve">pupils </w:t>
            </w:r>
            <w:r w:rsidR="00256700">
              <w:t xml:space="preserve">demonstrating that our strategy and approach to delivering high quality programmes of support to diminish gaps </w:t>
            </w:r>
            <w:r w:rsidR="00170851">
              <w:t>between disadvantaged an</w:t>
            </w:r>
            <w:r w:rsidR="00256700">
              <w:t>d non is in fact highly successful</w:t>
            </w:r>
            <w:r w:rsidR="00170851">
              <w:t xml:space="preserve">. </w:t>
            </w:r>
          </w:p>
          <w:p w14:paraId="62760192" w14:textId="77777777" w:rsidR="0098212C" w:rsidRPr="0098212C" w:rsidRDefault="00170851" w:rsidP="0098212C">
            <w:r>
              <w:t>However, d</w:t>
            </w:r>
            <w:r w:rsidR="0098212C" w:rsidRPr="0098212C">
              <w:t xml:space="preserve">ata from </w:t>
            </w:r>
            <w:r w:rsidR="007A29B2">
              <w:t xml:space="preserve">the most recent </w:t>
            </w:r>
            <w:r w:rsidR="0098212C" w:rsidRPr="0098212C">
              <w:t>tests and assessments suggest that, despite some strong individual performances, the progress and attainment of the school’s disadvantaged pupils in 2021/22 was below our expectations. Our analysis suggests that the reason for this is primarily</w:t>
            </w:r>
            <w:r w:rsidR="007A29B2">
              <w:t xml:space="preserve"> the ongoing impact of COVID-19 and the fact that pupils</w:t>
            </w:r>
            <w:r w:rsidR="007A29B2" w:rsidRPr="007A29B2">
              <w:t xml:space="preserve"> had</w:t>
            </w:r>
            <w:r w:rsidR="007A29B2">
              <w:t xml:space="preserve"> reduced and</w:t>
            </w:r>
            <w:r w:rsidR="007A29B2" w:rsidRPr="007A29B2">
              <w:t xml:space="preserve"> limited opportunity to access their full curriculum offer and en</w:t>
            </w:r>
            <w:r w:rsidR="007A29B2">
              <w:t xml:space="preserve">titlement of </w:t>
            </w:r>
            <w:r w:rsidR="007A29B2" w:rsidRPr="007A29B2">
              <w:t xml:space="preserve">teaching, learning and </w:t>
            </w:r>
            <w:r w:rsidR="009E50B8">
              <w:t xml:space="preserve">SEL </w:t>
            </w:r>
            <w:r w:rsidR="007A29B2" w:rsidRPr="007A29B2">
              <w:t>support</w:t>
            </w:r>
            <w:r w:rsidR="007A29B2">
              <w:t>; the combination</w:t>
            </w:r>
            <w:r w:rsidR="007A29B2" w:rsidRPr="007A29B2">
              <w:t xml:space="preserve"> recognised </w:t>
            </w:r>
            <w:r w:rsidR="007A29B2">
              <w:t xml:space="preserve">in previous years </w:t>
            </w:r>
            <w:r w:rsidR="007A29B2" w:rsidRPr="007A29B2">
              <w:t>as res</w:t>
            </w:r>
            <w:r w:rsidR="007A29B2">
              <w:t>ulting in the highest standards. W</w:t>
            </w:r>
            <w:r w:rsidR="0098212C" w:rsidRPr="0098212C">
              <w:t>e also</w:t>
            </w:r>
            <w:r w:rsidR="007A29B2">
              <w:t xml:space="preserve"> recognise and</w:t>
            </w:r>
            <w:r w:rsidR="0098212C" w:rsidRPr="0098212C">
              <w:t xml:space="preserve"> identified that some of the approaches we used to boost outcomes for disadvantaged pupils had less impact than anticipated</w:t>
            </w:r>
            <w:r w:rsidR="007A29B2">
              <w:t xml:space="preserve"> due to limited coverage and irregular patterns of teaching due to staff absences</w:t>
            </w:r>
            <w:r w:rsidR="0098212C" w:rsidRPr="0098212C">
              <w:t>.</w:t>
            </w:r>
            <w:r>
              <w:t xml:space="preserve"> </w:t>
            </w:r>
          </w:p>
          <w:p w14:paraId="642736F9" w14:textId="77777777" w:rsidR="0098212C" w:rsidRPr="0098212C" w:rsidRDefault="0098212C" w:rsidP="0098212C">
            <w:r w:rsidRPr="0098212C">
              <w:t>The attainment gap between our disadvantaged pupils and non-disadvantaged pupils has grown since the start of the pandemic. This is reflective of national figures and demonstrates the additional impact of COVID-19 on disadvantaged pupils.</w:t>
            </w:r>
          </w:p>
          <w:p w14:paraId="4F74CEBD" w14:textId="77777777" w:rsidR="0098212C" w:rsidRPr="0098212C" w:rsidRDefault="0098212C" w:rsidP="0098212C">
            <w:r w:rsidRPr="0098212C">
              <w:t xml:space="preserve">Absence among disadvantaged pupils was higher than their peers in 2021/22 and persistent absence higher. We recognise this gap is too large which is why raising the attendance of our disadvantaged pupils is a focus of our </w:t>
            </w:r>
            <w:r w:rsidR="007A29B2">
              <w:t xml:space="preserve">21-24 </w:t>
            </w:r>
            <w:r w:rsidRPr="0098212C">
              <w:t xml:space="preserve">plan.     </w:t>
            </w:r>
          </w:p>
          <w:p w14:paraId="4F2C1229" w14:textId="77777777" w:rsidR="0098212C" w:rsidRPr="0098212C" w:rsidRDefault="0098212C" w:rsidP="0098212C">
            <w:r w:rsidRPr="0098212C">
              <w:t>Our observations and assessments demonstrated that pu</w:t>
            </w:r>
            <w:r w:rsidR="00170851">
              <w:t xml:space="preserve">pil behaviour was </w:t>
            </w:r>
            <w:r w:rsidR="00F73E3B">
              <w:t xml:space="preserve">previously </w:t>
            </w:r>
            <w:r w:rsidR="00170851">
              <w:t>positive</w:t>
            </w:r>
            <w:r w:rsidR="00F73E3B">
              <w:t xml:space="preserve"> and a strength of the school; </w:t>
            </w:r>
            <w:r w:rsidR="00170851">
              <w:t>recognised often by external professionals and visitors</w:t>
            </w:r>
            <w:r w:rsidR="007A29B2">
              <w:t xml:space="preserve">. However, </w:t>
            </w:r>
            <w:r w:rsidR="00F73E3B">
              <w:t>challenges</w:t>
            </w:r>
            <w:r w:rsidRPr="0098212C">
              <w:t xml:space="preserve"> in relation to wellbeing and mental health remain significantly higher than before the pandemic. The impact on disadvantaged pupils has been particularly acute.</w:t>
            </w:r>
          </w:p>
          <w:p w14:paraId="68C17F24" w14:textId="77777777" w:rsidR="0098212C" w:rsidRPr="0098212C" w:rsidRDefault="0098212C" w:rsidP="0098212C">
            <w:r w:rsidRPr="0098212C">
              <w:t>These results mean that we are not at present on course to achieve the outcomes that we set out to achieve by 2024/25, as stated in the Intended Outcomes section above.  We have reviewed our strategy plan and made changes to how we intend to use some of our budget this academic year, as set out in the Activity in This Academic Year section above. The Further Information section below provides more details about our planning, implementation, and evaluation processes.</w:t>
            </w:r>
          </w:p>
        </w:tc>
      </w:tr>
    </w:tbl>
    <w:p w14:paraId="04CAC27B" w14:textId="77777777" w:rsidR="001C75D7" w:rsidRDefault="001C75D7" w:rsidP="0098212C">
      <w:pPr>
        <w:rPr>
          <w:b/>
        </w:rPr>
      </w:pPr>
    </w:p>
    <w:p w14:paraId="39418268" w14:textId="77777777" w:rsidR="0098212C" w:rsidRPr="0098212C" w:rsidRDefault="0098212C" w:rsidP="0098212C">
      <w:pPr>
        <w:rPr>
          <w:b/>
        </w:rPr>
      </w:pPr>
      <w:r w:rsidRPr="0098212C">
        <w:rPr>
          <w:b/>
        </w:rPr>
        <w:t>Further infor</w:t>
      </w:r>
      <w:r w:rsidR="003F7157">
        <w:rPr>
          <w:b/>
        </w:rPr>
        <w:t xml:space="preserve">mation </w:t>
      </w:r>
    </w:p>
    <w:tbl>
      <w:tblPr>
        <w:tblW w:w="9486" w:type="dxa"/>
        <w:tblCellMar>
          <w:left w:w="10" w:type="dxa"/>
          <w:right w:w="10" w:type="dxa"/>
        </w:tblCellMar>
        <w:tblLook w:val="04A0" w:firstRow="1" w:lastRow="0" w:firstColumn="1" w:lastColumn="0" w:noHBand="0" w:noVBand="1"/>
      </w:tblPr>
      <w:tblGrid>
        <w:gridCol w:w="9486"/>
      </w:tblGrid>
      <w:tr w:rsidR="0098212C" w:rsidRPr="0098212C" w14:paraId="46505E41" w14:textId="77777777" w:rsidTr="00E4573A">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4B28A" w14:textId="77777777" w:rsidR="0098212C" w:rsidRPr="0098212C" w:rsidRDefault="0098212C" w:rsidP="0098212C">
            <w:pPr>
              <w:rPr>
                <w:b/>
                <w:bCs/>
                <w:iCs/>
              </w:rPr>
            </w:pPr>
            <w:r w:rsidRPr="0098212C">
              <w:rPr>
                <w:b/>
                <w:bCs/>
                <w:iCs/>
              </w:rPr>
              <w:lastRenderedPageBreak/>
              <w:t>Additional activity</w:t>
            </w:r>
          </w:p>
          <w:p w14:paraId="7DB21B0A" w14:textId="77777777" w:rsidR="0098212C" w:rsidRPr="0098212C" w:rsidRDefault="0098212C" w:rsidP="0098212C">
            <w:pPr>
              <w:rPr>
                <w:iCs/>
              </w:rPr>
            </w:pPr>
            <w:r w:rsidRPr="0098212C">
              <w:rPr>
                <w:iCs/>
              </w:rPr>
              <w:t xml:space="preserve">Our pupil premium strategy will be supplemented by additional activity that is not being funded by pupil premium or recovery premium. That will include: </w:t>
            </w:r>
          </w:p>
          <w:p w14:paraId="34C456B4" w14:textId="77777777" w:rsidR="0098212C" w:rsidRPr="0098212C" w:rsidRDefault="0098212C" w:rsidP="0098212C">
            <w:pPr>
              <w:numPr>
                <w:ilvl w:val="0"/>
                <w:numId w:val="2"/>
              </w:numPr>
              <w:rPr>
                <w:iCs/>
              </w:rPr>
            </w:pPr>
            <w:r w:rsidRPr="0098212C">
              <w:rPr>
                <w:iCs/>
              </w:rPr>
              <w:t xml:space="preserve">embedding more effective practice around feedback. </w:t>
            </w:r>
            <w:hyperlink r:id="rId32" w:history="1">
              <w:r w:rsidRPr="0098212C">
                <w:rPr>
                  <w:rStyle w:val="Hyperlink"/>
                  <w:iCs/>
                </w:rPr>
                <w:t>EEF evidence</w:t>
              </w:r>
            </w:hyperlink>
            <w:r w:rsidRPr="0098212C">
              <w:rPr>
                <w:iCs/>
              </w:rPr>
              <w:t xml:space="preserve"> demonstrates this has significant benefits for pupils, particularly disadvantaged pupils. </w:t>
            </w:r>
          </w:p>
          <w:p w14:paraId="6B3F0BD5" w14:textId="77777777" w:rsidR="0098212C" w:rsidRPr="0098212C" w:rsidRDefault="0098212C" w:rsidP="0098212C">
            <w:pPr>
              <w:numPr>
                <w:ilvl w:val="0"/>
                <w:numId w:val="2"/>
              </w:numPr>
              <w:rPr>
                <w:iCs/>
              </w:rPr>
            </w:pPr>
            <w:r w:rsidRPr="0098212C">
              <w:t xml:space="preserve">utilising a </w:t>
            </w:r>
            <w:hyperlink r:id="rId33" w:history="1">
              <w:r w:rsidRPr="0098212C">
                <w:rPr>
                  <w:rStyle w:val="Hyperlink"/>
                </w:rPr>
                <w:t>DfE grant to train a senior mental health lead</w:t>
              </w:r>
            </w:hyperlink>
            <w:r w:rsidRPr="0098212C">
              <w:t>. The training we have selected will focus on the training needs identified through the online tool: to develop our understanding of our pupils’ needs, give pupils a voice in how we address wellbeing, and support more effective collaboration with parents.</w:t>
            </w:r>
          </w:p>
          <w:p w14:paraId="6CB5DF6A" w14:textId="77777777" w:rsidR="0098212C" w:rsidRDefault="0098212C" w:rsidP="0098212C">
            <w:pPr>
              <w:numPr>
                <w:ilvl w:val="0"/>
                <w:numId w:val="2"/>
              </w:numPr>
              <w:rPr>
                <w:iCs/>
              </w:rPr>
            </w:pPr>
            <w:r w:rsidRPr="0098212C">
              <w:rPr>
                <w:iCs/>
              </w:rPr>
              <w:t>offering a wide range of high-quality extracurricular activities to boost wellbeing, behaviour, attendance, and aspiration. Activities will focus on building life skills such as confidence, resilience, and socialising. Disadvantaged pupils will be encouraged and supported to participate.</w:t>
            </w:r>
          </w:p>
          <w:p w14:paraId="105628F5" w14:textId="77777777" w:rsidR="00981154" w:rsidRDefault="00981154" w:rsidP="00981154">
            <w:pPr>
              <w:rPr>
                <w:iCs/>
              </w:rPr>
            </w:pPr>
          </w:p>
          <w:p w14:paraId="546DF8FF" w14:textId="77777777" w:rsidR="00981154" w:rsidRPr="0098212C" w:rsidRDefault="00981154" w:rsidP="00981154">
            <w:pPr>
              <w:rPr>
                <w:iCs/>
              </w:rPr>
            </w:pPr>
          </w:p>
          <w:p w14:paraId="1848DB39" w14:textId="77777777" w:rsidR="0098212C" w:rsidRPr="0098212C" w:rsidRDefault="0098212C" w:rsidP="0098212C">
            <w:pPr>
              <w:rPr>
                <w:b/>
                <w:bCs/>
                <w:iCs/>
              </w:rPr>
            </w:pPr>
            <w:r w:rsidRPr="0098212C">
              <w:rPr>
                <w:b/>
                <w:bCs/>
                <w:iCs/>
              </w:rPr>
              <w:t>Planning, implementation, and evaluation</w:t>
            </w:r>
          </w:p>
          <w:p w14:paraId="3E0EDAF8" w14:textId="77777777" w:rsidR="0098212C" w:rsidRPr="0098212C" w:rsidRDefault="0098212C" w:rsidP="0098212C">
            <w:pPr>
              <w:rPr>
                <w:iCs/>
              </w:rPr>
            </w:pPr>
            <w:r w:rsidRPr="0098212C">
              <w:rPr>
                <w:iCs/>
              </w:rPr>
              <w:t xml:space="preserve">In planning our new pupil premium strategy, we evaluated why activity undertaken in previous years had not had the degree of impact that we had expected. We also commissioned a pupil premium review </w:t>
            </w:r>
            <w:r w:rsidR="003E37D3">
              <w:rPr>
                <w:iCs/>
              </w:rPr>
              <w:t xml:space="preserve">by the LA </w:t>
            </w:r>
            <w:r w:rsidRPr="0098212C">
              <w:rPr>
                <w:iCs/>
              </w:rPr>
              <w:t xml:space="preserve">to </w:t>
            </w:r>
            <w:r w:rsidR="003F7157">
              <w:rPr>
                <w:iCs/>
              </w:rPr>
              <w:t>achieve</w:t>
            </w:r>
            <w:r w:rsidRPr="0098212C">
              <w:rPr>
                <w:iCs/>
              </w:rPr>
              <w:t xml:space="preserve"> an external perspective. </w:t>
            </w:r>
          </w:p>
          <w:p w14:paraId="5AF33DF3" w14:textId="77777777" w:rsidR="0098212C" w:rsidRDefault="0098212C" w:rsidP="0098212C">
            <w:pPr>
              <w:rPr>
                <w:iCs/>
              </w:rPr>
            </w:pPr>
            <w:r w:rsidRPr="0098212C">
              <w:rPr>
                <w:iCs/>
              </w:rPr>
              <w:t>We triangulated evidence from multiple sources of data including assessments, engagement in class</w:t>
            </w:r>
            <w:r w:rsidR="003F7157">
              <w:rPr>
                <w:iCs/>
              </w:rPr>
              <w:t>,</w:t>
            </w:r>
            <w:r w:rsidRPr="0098212C">
              <w:rPr>
                <w:iCs/>
              </w:rPr>
              <w:t xml:space="preserve"> book scrutiny, </w:t>
            </w:r>
            <w:r w:rsidR="00A57CD5" w:rsidRPr="0098212C">
              <w:rPr>
                <w:iCs/>
              </w:rPr>
              <w:t>and conversations</w:t>
            </w:r>
            <w:r w:rsidRPr="0098212C">
              <w:rPr>
                <w:iCs/>
              </w:rPr>
              <w:t xml:space="preserve"> with parents, </w:t>
            </w:r>
            <w:r w:rsidR="00554DFA">
              <w:rPr>
                <w:iCs/>
              </w:rPr>
              <w:t>pupil</w:t>
            </w:r>
            <w:r w:rsidRPr="0098212C">
              <w:rPr>
                <w:iCs/>
              </w:rPr>
              <w:t xml:space="preserve">s and teachers in order to identify the challenges faced by disadvantaged pupils. We also used the EEF’s families of </w:t>
            </w:r>
            <w:proofErr w:type="gramStart"/>
            <w:r w:rsidRPr="0098212C">
              <w:rPr>
                <w:iCs/>
              </w:rPr>
              <w:t>schools</w:t>
            </w:r>
            <w:proofErr w:type="gramEnd"/>
            <w:r w:rsidRPr="0098212C">
              <w:rPr>
                <w:iCs/>
              </w:rPr>
              <w:t xml:space="preserve"> database to view the performance of disadvantaged pupils in schools similar to ours.</w:t>
            </w:r>
          </w:p>
          <w:p w14:paraId="409C75A9" w14:textId="77777777" w:rsidR="00170851" w:rsidRPr="0098212C" w:rsidRDefault="00C86A79" w:rsidP="0098212C">
            <w:pPr>
              <w:rPr>
                <w:iCs/>
              </w:rPr>
            </w:pPr>
            <w:hyperlink r:id="rId34" w:history="1">
              <w:r w:rsidR="00D0757F" w:rsidRPr="00A0780A">
                <w:rPr>
                  <w:rStyle w:val="Hyperlink"/>
                  <w:iCs/>
                </w:rPr>
                <w:t>https://v2.educationendowmentfoundation.org.uk/tools/families-of-schools-database/sandal-castle-va-community-primary-school-wf2-6as</w:t>
              </w:r>
            </w:hyperlink>
          </w:p>
          <w:p w14:paraId="4D5A9AD4" w14:textId="77777777" w:rsidR="0098212C" w:rsidRPr="0098212C" w:rsidRDefault="0098212C" w:rsidP="0098212C">
            <w:pPr>
              <w:rPr>
                <w:iCs/>
              </w:rPr>
            </w:pPr>
            <w:r w:rsidRPr="0098212C">
              <w:rPr>
                <w:iCs/>
              </w:rPr>
              <w:t xml:space="preserve">We looked at a number of reports, studies and research papers about effective use of pupil premium, the impact of disadvantage on education outcomes and how to address challenges to learning presented by socio-economic disadvantage. We also looked at studies about the impact of the pandemic on disadvantaged pupils. </w:t>
            </w:r>
          </w:p>
          <w:p w14:paraId="27F286F7" w14:textId="77777777" w:rsidR="0098212C" w:rsidRPr="0098212C" w:rsidRDefault="0098212C" w:rsidP="0098212C">
            <w:r w:rsidRPr="0098212C">
              <w:t xml:space="preserve">We used the </w:t>
            </w:r>
            <w:hyperlink r:id="rId35" w:history="1">
              <w:r w:rsidRPr="0098212C">
                <w:rPr>
                  <w:rStyle w:val="Hyperlink"/>
                </w:rPr>
                <w:t>EEF’s implementation guidance</w:t>
              </w:r>
            </w:hyperlink>
            <w:r w:rsidRPr="0098212C">
              <w:t xml:space="preserve"> to help us develop our strategy, particularly the ‘explore’ phase to help us diagnose specific pupil needs and work out which activities and approaches are likely to work in our school. We will continue to use it through the implementation of activities. </w:t>
            </w:r>
          </w:p>
          <w:p w14:paraId="1E30844E" w14:textId="77777777" w:rsidR="0098212C" w:rsidRPr="0098212C" w:rsidRDefault="0098212C" w:rsidP="0098212C">
            <w:r w:rsidRPr="0098212C">
              <w:t>We have put a robust evaluation framework in place for the duration of our three-year approach and will adjust our plan over time to secure better outcomes for pupils.</w:t>
            </w:r>
          </w:p>
        </w:tc>
      </w:tr>
      <w:bookmarkEnd w:id="9"/>
      <w:bookmarkEnd w:id="10"/>
      <w:bookmarkEnd w:id="11"/>
    </w:tbl>
    <w:p w14:paraId="143CCD1E" w14:textId="77777777" w:rsidR="0098212C" w:rsidRPr="0098212C" w:rsidRDefault="0098212C" w:rsidP="0098212C"/>
    <w:p w14:paraId="7B95A1C8" w14:textId="77777777" w:rsidR="0098212C" w:rsidRDefault="0098212C"/>
    <w:sectPr w:rsidR="0098212C">
      <w:foot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D3614" w14:textId="77777777" w:rsidR="0094318F" w:rsidRDefault="0094318F" w:rsidP="00152E99">
      <w:pPr>
        <w:spacing w:after="0" w:line="240" w:lineRule="auto"/>
      </w:pPr>
      <w:r>
        <w:separator/>
      </w:r>
    </w:p>
  </w:endnote>
  <w:endnote w:type="continuationSeparator" w:id="0">
    <w:p w14:paraId="71AF0F1C" w14:textId="77777777" w:rsidR="0094318F" w:rsidRDefault="0094318F" w:rsidP="00152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494616"/>
      <w:docPartObj>
        <w:docPartGallery w:val="Page Numbers (Bottom of Page)"/>
        <w:docPartUnique/>
      </w:docPartObj>
    </w:sdtPr>
    <w:sdtEndPr>
      <w:rPr>
        <w:noProof/>
      </w:rPr>
    </w:sdtEndPr>
    <w:sdtContent>
      <w:p w14:paraId="41B214DA" w14:textId="77777777" w:rsidR="00152E99" w:rsidRDefault="00152E99">
        <w:pPr>
          <w:pStyle w:val="Footer"/>
          <w:jc w:val="right"/>
        </w:pPr>
        <w:r>
          <w:fldChar w:fldCharType="begin"/>
        </w:r>
        <w:r>
          <w:instrText xml:space="preserve"> PAGE   \* MERGEFORMAT </w:instrText>
        </w:r>
        <w:r>
          <w:fldChar w:fldCharType="separate"/>
        </w:r>
        <w:r w:rsidR="008248D7">
          <w:rPr>
            <w:noProof/>
          </w:rPr>
          <w:t>12</w:t>
        </w:r>
        <w:r>
          <w:rPr>
            <w:noProof/>
          </w:rPr>
          <w:fldChar w:fldCharType="end"/>
        </w:r>
      </w:p>
    </w:sdtContent>
  </w:sdt>
  <w:p w14:paraId="67D6D59F" w14:textId="77777777" w:rsidR="00152E99" w:rsidRDefault="00152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20B26" w14:textId="77777777" w:rsidR="0094318F" w:rsidRDefault="0094318F" w:rsidP="00152E99">
      <w:pPr>
        <w:spacing w:after="0" w:line="240" w:lineRule="auto"/>
      </w:pPr>
      <w:r>
        <w:separator/>
      </w:r>
    </w:p>
  </w:footnote>
  <w:footnote w:type="continuationSeparator" w:id="0">
    <w:p w14:paraId="2AA4DC57" w14:textId="77777777" w:rsidR="0094318F" w:rsidRDefault="0094318F" w:rsidP="00152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F12C02"/>
    <w:multiLevelType w:val="hybridMultilevel"/>
    <w:tmpl w:val="3A202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12C"/>
    <w:rsid w:val="00003F5E"/>
    <w:rsid w:val="00004EE5"/>
    <w:rsid w:val="000052A1"/>
    <w:rsid w:val="00010EFF"/>
    <w:rsid w:val="0001443A"/>
    <w:rsid w:val="0001599A"/>
    <w:rsid w:val="00023067"/>
    <w:rsid w:val="00023CA7"/>
    <w:rsid w:val="00025B86"/>
    <w:rsid w:val="00026AA4"/>
    <w:rsid w:val="00032630"/>
    <w:rsid w:val="00036CB5"/>
    <w:rsid w:val="000405B1"/>
    <w:rsid w:val="00042ED8"/>
    <w:rsid w:val="000430DF"/>
    <w:rsid w:val="000439AA"/>
    <w:rsid w:val="00043C13"/>
    <w:rsid w:val="000453A3"/>
    <w:rsid w:val="00047C22"/>
    <w:rsid w:val="00054614"/>
    <w:rsid w:val="00054D1A"/>
    <w:rsid w:val="00055051"/>
    <w:rsid w:val="00056749"/>
    <w:rsid w:val="00056EF9"/>
    <w:rsid w:val="0006139E"/>
    <w:rsid w:val="000644AC"/>
    <w:rsid w:val="000653E9"/>
    <w:rsid w:val="000656EC"/>
    <w:rsid w:val="000747CB"/>
    <w:rsid w:val="00076293"/>
    <w:rsid w:val="00081436"/>
    <w:rsid w:val="00086CB2"/>
    <w:rsid w:val="0009089B"/>
    <w:rsid w:val="00092183"/>
    <w:rsid w:val="00093CF9"/>
    <w:rsid w:val="00094901"/>
    <w:rsid w:val="00094C2B"/>
    <w:rsid w:val="00097E55"/>
    <w:rsid w:val="00097ECA"/>
    <w:rsid w:val="000A235C"/>
    <w:rsid w:val="000A59DE"/>
    <w:rsid w:val="000A6412"/>
    <w:rsid w:val="000B574B"/>
    <w:rsid w:val="000B5EE1"/>
    <w:rsid w:val="000B716B"/>
    <w:rsid w:val="000B7E54"/>
    <w:rsid w:val="000C2E26"/>
    <w:rsid w:val="000C329C"/>
    <w:rsid w:val="000C652F"/>
    <w:rsid w:val="000D0D8E"/>
    <w:rsid w:val="000E10BF"/>
    <w:rsid w:val="000E1FD2"/>
    <w:rsid w:val="000E3E41"/>
    <w:rsid w:val="000E5C20"/>
    <w:rsid w:val="000E5CF0"/>
    <w:rsid w:val="000F1F62"/>
    <w:rsid w:val="000F4B60"/>
    <w:rsid w:val="000F6543"/>
    <w:rsid w:val="000F6564"/>
    <w:rsid w:val="00101F99"/>
    <w:rsid w:val="00104D86"/>
    <w:rsid w:val="0010530A"/>
    <w:rsid w:val="0010561C"/>
    <w:rsid w:val="00106A24"/>
    <w:rsid w:val="001131F1"/>
    <w:rsid w:val="00113380"/>
    <w:rsid w:val="001211B8"/>
    <w:rsid w:val="00121E6C"/>
    <w:rsid w:val="00122D11"/>
    <w:rsid w:val="00123A92"/>
    <w:rsid w:val="00126AC2"/>
    <w:rsid w:val="00127B04"/>
    <w:rsid w:val="001351CD"/>
    <w:rsid w:val="00147C8E"/>
    <w:rsid w:val="00151811"/>
    <w:rsid w:val="001519BC"/>
    <w:rsid w:val="00151B0C"/>
    <w:rsid w:val="00151B98"/>
    <w:rsid w:val="00152E99"/>
    <w:rsid w:val="00155069"/>
    <w:rsid w:val="0015646C"/>
    <w:rsid w:val="001578B0"/>
    <w:rsid w:val="00160DAA"/>
    <w:rsid w:val="0016434A"/>
    <w:rsid w:val="001664B9"/>
    <w:rsid w:val="001706E1"/>
    <w:rsid w:val="00170851"/>
    <w:rsid w:val="00170AA7"/>
    <w:rsid w:val="001729BC"/>
    <w:rsid w:val="00176810"/>
    <w:rsid w:val="001771E1"/>
    <w:rsid w:val="0018008E"/>
    <w:rsid w:val="0018155E"/>
    <w:rsid w:val="00182189"/>
    <w:rsid w:val="00182C53"/>
    <w:rsid w:val="00186A73"/>
    <w:rsid w:val="001935E0"/>
    <w:rsid w:val="00196176"/>
    <w:rsid w:val="001965B2"/>
    <w:rsid w:val="00197623"/>
    <w:rsid w:val="001A1085"/>
    <w:rsid w:val="001A4B92"/>
    <w:rsid w:val="001B73EF"/>
    <w:rsid w:val="001B7B40"/>
    <w:rsid w:val="001C09CF"/>
    <w:rsid w:val="001C2215"/>
    <w:rsid w:val="001C6A6C"/>
    <w:rsid w:val="001C75D7"/>
    <w:rsid w:val="001D0E0C"/>
    <w:rsid w:val="001D44E6"/>
    <w:rsid w:val="001D522E"/>
    <w:rsid w:val="001E0490"/>
    <w:rsid w:val="001E421F"/>
    <w:rsid w:val="001E4773"/>
    <w:rsid w:val="001E7683"/>
    <w:rsid w:val="001F5673"/>
    <w:rsid w:val="001F5790"/>
    <w:rsid w:val="001F7ABE"/>
    <w:rsid w:val="001F7D76"/>
    <w:rsid w:val="002007E9"/>
    <w:rsid w:val="0020526E"/>
    <w:rsid w:val="0021723E"/>
    <w:rsid w:val="00220535"/>
    <w:rsid w:val="00220687"/>
    <w:rsid w:val="0022252A"/>
    <w:rsid w:val="0022322A"/>
    <w:rsid w:val="00224D91"/>
    <w:rsid w:val="00227D16"/>
    <w:rsid w:val="00230A8C"/>
    <w:rsid w:val="00230DC5"/>
    <w:rsid w:val="002342F0"/>
    <w:rsid w:val="00234DC6"/>
    <w:rsid w:val="00240510"/>
    <w:rsid w:val="00240FC4"/>
    <w:rsid w:val="00243F77"/>
    <w:rsid w:val="00247973"/>
    <w:rsid w:val="00250199"/>
    <w:rsid w:val="0025031F"/>
    <w:rsid w:val="00252677"/>
    <w:rsid w:val="002532F5"/>
    <w:rsid w:val="00255CE0"/>
    <w:rsid w:val="0025614D"/>
    <w:rsid w:val="002565DF"/>
    <w:rsid w:val="00256700"/>
    <w:rsid w:val="002626FF"/>
    <w:rsid w:val="00265806"/>
    <w:rsid w:val="002667DF"/>
    <w:rsid w:val="00266833"/>
    <w:rsid w:val="00272415"/>
    <w:rsid w:val="00276042"/>
    <w:rsid w:val="00282A4F"/>
    <w:rsid w:val="00290D7A"/>
    <w:rsid w:val="00291576"/>
    <w:rsid w:val="00292D90"/>
    <w:rsid w:val="00294F6C"/>
    <w:rsid w:val="002A2A8C"/>
    <w:rsid w:val="002A2F9A"/>
    <w:rsid w:val="002A4917"/>
    <w:rsid w:val="002A4C08"/>
    <w:rsid w:val="002A5E63"/>
    <w:rsid w:val="002A60FA"/>
    <w:rsid w:val="002B1295"/>
    <w:rsid w:val="002B150F"/>
    <w:rsid w:val="002B1D56"/>
    <w:rsid w:val="002B3441"/>
    <w:rsid w:val="002B37FD"/>
    <w:rsid w:val="002B50AB"/>
    <w:rsid w:val="002C2B7F"/>
    <w:rsid w:val="002D126E"/>
    <w:rsid w:val="002D488E"/>
    <w:rsid w:val="002D637A"/>
    <w:rsid w:val="002E5609"/>
    <w:rsid w:val="002F09C0"/>
    <w:rsid w:val="002F46E4"/>
    <w:rsid w:val="002F7435"/>
    <w:rsid w:val="002F78E9"/>
    <w:rsid w:val="002F7CDE"/>
    <w:rsid w:val="003007B0"/>
    <w:rsid w:val="003014AA"/>
    <w:rsid w:val="003125DE"/>
    <w:rsid w:val="003128B0"/>
    <w:rsid w:val="00313571"/>
    <w:rsid w:val="00313A5E"/>
    <w:rsid w:val="00314E1B"/>
    <w:rsid w:val="00315A11"/>
    <w:rsid w:val="00315A12"/>
    <w:rsid w:val="00317E6F"/>
    <w:rsid w:val="00320AA1"/>
    <w:rsid w:val="00321400"/>
    <w:rsid w:val="0032218A"/>
    <w:rsid w:val="00325344"/>
    <w:rsid w:val="003329B6"/>
    <w:rsid w:val="00334247"/>
    <w:rsid w:val="00336327"/>
    <w:rsid w:val="00336CEC"/>
    <w:rsid w:val="0034064C"/>
    <w:rsid w:val="00341F90"/>
    <w:rsid w:val="00342FE8"/>
    <w:rsid w:val="003464AB"/>
    <w:rsid w:val="003533A7"/>
    <w:rsid w:val="003551F4"/>
    <w:rsid w:val="00355F30"/>
    <w:rsid w:val="00357808"/>
    <w:rsid w:val="00357DA6"/>
    <w:rsid w:val="0036604F"/>
    <w:rsid w:val="003673A5"/>
    <w:rsid w:val="0037061C"/>
    <w:rsid w:val="00371A61"/>
    <w:rsid w:val="003750CF"/>
    <w:rsid w:val="003776E4"/>
    <w:rsid w:val="00380EE3"/>
    <w:rsid w:val="00382B5E"/>
    <w:rsid w:val="003919B6"/>
    <w:rsid w:val="0039237D"/>
    <w:rsid w:val="00393BFE"/>
    <w:rsid w:val="0039718F"/>
    <w:rsid w:val="003A0A69"/>
    <w:rsid w:val="003A1C0A"/>
    <w:rsid w:val="003A33DE"/>
    <w:rsid w:val="003A57BF"/>
    <w:rsid w:val="003B05DF"/>
    <w:rsid w:val="003B213E"/>
    <w:rsid w:val="003B5BD0"/>
    <w:rsid w:val="003C63EC"/>
    <w:rsid w:val="003C6644"/>
    <w:rsid w:val="003C6EFE"/>
    <w:rsid w:val="003C79D6"/>
    <w:rsid w:val="003D65EB"/>
    <w:rsid w:val="003D67F3"/>
    <w:rsid w:val="003E37D3"/>
    <w:rsid w:val="003E755C"/>
    <w:rsid w:val="003F0EF3"/>
    <w:rsid w:val="003F5CA0"/>
    <w:rsid w:val="003F7157"/>
    <w:rsid w:val="004008D3"/>
    <w:rsid w:val="00400CA4"/>
    <w:rsid w:val="00400EC5"/>
    <w:rsid w:val="00404887"/>
    <w:rsid w:val="004060C1"/>
    <w:rsid w:val="0041005E"/>
    <w:rsid w:val="004104D9"/>
    <w:rsid w:val="00413B3B"/>
    <w:rsid w:val="00414D50"/>
    <w:rsid w:val="00416971"/>
    <w:rsid w:val="00421449"/>
    <w:rsid w:val="00422533"/>
    <w:rsid w:val="00422652"/>
    <w:rsid w:val="004259E6"/>
    <w:rsid w:val="00425B76"/>
    <w:rsid w:val="00430CC3"/>
    <w:rsid w:val="004340DB"/>
    <w:rsid w:val="0044038C"/>
    <w:rsid w:val="00440C57"/>
    <w:rsid w:val="00441137"/>
    <w:rsid w:val="00441A57"/>
    <w:rsid w:val="0044280D"/>
    <w:rsid w:val="004460E1"/>
    <w:rsid w:val="004473D6"/>
    <w:rsid w:val="00447F12"/>
    <w:rsid w:val="004504AF"/>
    <w:rsid w:val="00454F45"/>
    <w:rsid w:val="00457587"/>
    <w:rsid w:val="00460829"/>
    <w:rsid w:val="00461C87"/>
    <w:rsid w:val="00465276"/>
    <w:rsid w:val="004665AC"/>
    <w:rsid w:val="00471D77"/>
    <w:rsid w:val="00473006"/>
    <w:rsid w:val="004732D8"/>
    <w:rsid w:val="0047345A"/>
    <w:rsid w:val="004758EC"/>
    <w:rsid w:val="00476BF8"/>
    <w:rsid w:val="00485520"/>
    <w:rsid w:val="00485CEE"/>
    <w:rsid w:val="0048718F"/>
    <w:rsid w:val="00487443"/>
    <w:rsid w:val="00491E2B"/>
    <w:rsid w:val="00493E26"/>
    <w:rsid w:val="00494C97"/>
    <w:rsid w:val="00496A7F"/>
    <w:rsid w:val="004A28E9"/>
    <w:rsid w:val="004A3CAD"/>
    <w:rsid w:val="004A41A9"/>
    <w:rsid w:val="004A4F4B"/>
    <w:rsid w:val="004A64C3"/>
    <w:rsid w:val="004A6B70"/>
    <w:rsid w:val="004B15B4"/>
    <w:rsid w:val="004B4D4F"/>
    <w:rsid w:val="004B7011"/>
    <w:rsid w:val="004C426E"/>
    <w:rsid w:val="004C5483"/>
    <w:rsid w:val="004C6AFF"/>
    <w:rsid w:val="004D378B"/>
    <w:rsid w:val="004D72E0"/>
    <w:rsid w:val="004D7F43"/>
    <w:rsid w:val="004E114A"/>
    <w:rsid w:val="004E1EF3"/>
    <w:rsid w:val="004E1FCD"/>
    <w:rsid w:val="004E47D7"/>
    <w:rsid w:val="004E75D4"/>
    <w:rsid w:val="004F0994"/>
    <w:rsid w:val="004F49BF"/>
    <w:rsid w:val="004F6994"/>
    <w:rsid w:val="004F6F6D"/>
    <w:rsid w:val="004F7B96"/>
    <w:rsid w:val="004F7E7B"/>
    <w:rsid w:val="004F7F56"/>
    <w:rsid w:val="00501370"/>
    <w:rsid w:val="0050238C"/>
    <w:rsid w:val="005025A7"/>
    <w:rsid w:val="00503BBD"/>
    <w:rsid w:val="00506A5C"/>
    <w:rsid w:val="00507C56"/>
    <w:rsid w:val="005123D2"/>
    <w:rsid w:val="00513CE5"/>
    <w:rsid w:val="00513F75"/>
    <w:rsid w:val="00514018"/>
    <w:rsid w:val="005148BA"/>
    <w:rsid w:val="00520C27"/>
    <w:rsid w:val="005313F2"/>
    <w:rsid w:val="00531A8D"/>
    <w:rsid w:val="00531F65"/>
    <w:rsid w:val="005322A1"/>
    <w:rsid w:val="005327BF"/>
    <w:rsid w:val="00532D94"/>
    <w:rsid w:val="00533FA7"/>
    <w:rsid w:val="00537369"/>
    <w:rsid w:val="005420F0"/>
    <w:rsid w:val="00542C60"/>
    <w:rsid w:val="00554DFA"/>
    <w:rsid w:val="005567A3"/>
    <w:rsid w:val="00560607"/>
    <w:rsid w:val="00560C0F"/>
    <w:rsid w:val="00560DAE"/>
    <w:rsid w:val="005642A5"/>
    <w:rsid w:val="00564E39"/>
    <w:rsid w:val="005706E1"/>
    <w:rsid w:val="005711AA"/>
    <w:rsid w:val="00575480"/>
    <w:rsid w:val="005757F3"/>
    <w:rsid w:val="00580106"/>
    <w:rsid w:val="0058197E"/>
    <w:rsid w:val="00584F39"/>
    <w:rsid w:val="00587A58"/>
    <w:rsid w:val="00592546"/>
    <w:rsid w:val="00592863"/>
    <w:rsid w:val="005931FB"/>
    <w:rsid w:val="00595440"/>
    <w:rsid w:val="005A1D0E"/>
    <w:rsid w:val="005A266A"/>
    <w:rsid w:val="005B39F2"/>
    <w:rsid w:val="005B4AEA"/>
    <w:rsid w:val="005B4E8F"/>
    <w:rsid w:val="005C27E3"/>
    <w:rsid w:val="005C3417"/>
    <w:rsid w:val="005C45F9"/>
    <w:rsid w:val="005C495B"/>
    <w:rsid w:val="005D292C"/>
    <w:rsid w:val="005D2DD7"/>
    <w:rsid w:val="005D377C"/>
    <w:rsid w:val="005D7FA6"/>
    <w:rsid w:val="005E124B"/>
    <w:rsid w:val="005E5960"/>
    <w:rsid w:val="005E61B2"/>
    <w:rsid w:val="005E74CD"/>
    <w:rsid w:val="005F2102"/>
    <w:rsid w:val="005F35D6"/>
    <w:rsid w:val="00604162"/>
    <w:rsid w:val="00605D6C"/>
    <w:rsid w:val="00606FD1"/>
    <w:rsid w:val="006100EC"/>
    <w:rsid w:val="00612DA3"/>
    <w:rsid w:val="00613952"/>
    <w:rsid w:val="006159F9"/>
    <w:rsid w:val="006163B3"/>
    <w:rsid w:val="0062005D"/>
    <w:rsid w:val="00621242"/>
    <w:rsid w:val="00622227"/>
    <w:rsid w:val="00625494"/>
    <w:rsid w:val="00627472"/>
    <w:rsid w:val="00630D4D"/>
    <w:rsid w:val="00636E00"/>
    <w:rsid w:val="00650D9E"/>
    <w:rsid w:val="0065163A"/>
    <w:rsid w:val="00652ED7"/>
    <w:rsid w:val="00665D19"/>
    <w:rsid w:val="006717D6"/>
    <w:rsid w:val="00672934"/>
    <w:rsid w:val="00673707"/>
    <w:rsid w:val="00677396"/>
    <w:rsid w:val="00677EA1"/>
    <w:rsid w:val="00687650"/>
    <w:rsid w:val="00692DC6"/>
    <w:rsid w:val="00694345"/>
    <w:rsid w:val="00695038"/>
    <w:rsid w:val="0069676A"/>
    <w:rsid w:val="0069794D"/>
    <w:rsid w:val="006B0CC5"/>
    <w:rsid w:val="006B3C2F"/>
    <w:rsid w:val="006B4E05"/>
    <w:rsid w:val="006B7727"/>
    <w:rsid w:val="006B7A39"/>
    <w:rsid w:val="006C01B1"/>
    <w:rsid w:val="006C1410"/>
    <w:rsid w:val="006C56DE"/>
    <w:rsid w:val="006C7FA5"/>
    <w:rsid w:val="006D120A"/>
    <w:rsid w:val="006E093F"/>
    <w:rsid w:val="006E25FC"/>
    <w:rsid w:val="006E74FC"/>
    <w:rsid w:val="006F0EB4"/>
    <w:rsid w:val="006F24D5"/>
    <w:rsid w:val="006F3E70"/>
    <w:rsid w:val="006F51F6"/>
    <w:rsid w:val="0070188D"/>
    <w:rsid w:val="00703328"/>
    <w:rsid w:val="0070453C"/>
    <w:rsid w:val="007062D0"/>
    <w:rsid w:val="00707C21"/>
    <w:rsid w:val="00710D3C"/>
    <w:rsid w:val="007117CB"/>
    <w:rsid w:val="007127BC"/>
    <w:rsid w:val="00712C61"/>
    <w:rsid w:val="0071349A"/>
    <w:rsid w:val="00715F6A"/>
    <w:rsid w:val="00716A53"/>
    <w:rsid w:val="007174B2"/>
    <w:rsid w:val="007210B0"/>
    <w:rsid w:val="00724DE3"/>
    <w:rsid w:val="007271FE"/>
    <w:rsid w:val="007323AD"/>
    <w:rsid w:val="007331D7"/>
    <w:rsid w:val="00735556"/>
    <w:rsid w:val="00736F4A"/>
    <w:rsid w:val="00737A0E"/>
    <w:rsid w:val="00740480"/>
    <w:rsid w:val="0074085D"/>
    <w:rsid w:val="00742652"/>
    <w:rsid w:val="00742C3B"/>
    <w:rsid w:val="00744C11"/>
    <w:rsid w:val="00745614"/>
    <w:rsid w:val="00747216"/>
    <w:rsid w:val="00751E70"/>
    <w:rsid w:val="00752276"/>
    <w:rsid w:val="00757F21"/>
    <w:rsid w:val="00760016"/>
    <w:rsid w:val="00761EE0"/>
    <w:rsid w:val="007630E4"/>
    <w:rsid w:val="0076362C"/>
    <w:rsid w:val="00765366"/>
    <w:rsid w:val="00767158"/>
    <w:rsid w:val="00770263"/>
    <w:rsid w:val="007703FA"/>
    <w:rsid w:val="0077067B"/>
    <w:rsid w:val="007707D0"/>
    <w:rsid w:val="007734B7"/>
    <w:rsid w:val="00773FFD"/>
    <w:rsid w:val="00775034"/>
    <w:rsid w:val="00775688"/>
    <w:rsid w:val="00777512"/>
    <w:rsid w:val="0077795C"/>
    <w:rsid w:val="007822F2"/>
    <w:rsid w:val="00783A63"/>
    <w:rsid w:val="00783CCE"/>
    <w:rsid w:val="00783FD8"/>
    <w:rsid w:val="00787620"/>
    <w:rsid w:val="00787CD1"/>
    <w:rsid w:val="00787D62"/>
    <w:rsid w:val="00790BD8"/>
    <w:rsid w:val="007952F8"/>
    <w:rsid w:val="00795BF6"/>
    <w:rsid w:val="00796753"/>
    <w:rsid w:val="00797845"/>
    <w:rsid w:val="00797D19"/>
    <w:rsid w:val="007A29B2"/>
    <w:rsid w:val="007B0133"/>
    <w:rsid w:val="007B0DD2"/>
    <w:rsid w:val="007B1F19"/>
    <w:rsid w:val="007B2292"/>
    <w:rsid w:val="007B4D9E"/>
    <w:rsid w:val="007C0218"/>
    <w:rsid w:val="007C315C"/>
    <w:rsid w:val="007C47E2"/>
    <w:rsid w:val="007C7541"/>
    <w:rsid w:val="007C7C20"/>
    <w:rsid w:val="007D244D"/>
    <w:rsid w:val="007D36E0"/>
    <w:rsid w:val="007D4103"/>
    <w:rsid w:val="007D57A0"/>
    <w:rsid w:val="007D5FB8"/>
    <w:rsid w:val="007D7097"/>
    <w:rsid w:val="007E2E76"/>
    <w:rsid w:val="007E4D26"/>
    <w:rsid w:val="007E54EF"/>
    <w:rsid w:val="007E6BB2"/>
    <w:rsid w:val="007E70CD"/>
    <w:rsid w:val="007E7B3D"/>
    <w:rsid w:val="007E7DB7"/>
    <w:rsid w:val="007F0229"/>
    <w:rsid w:val="007F1764"/>
    <w:rsid w:val="007F2406"/>
    <w:rsid w:val="007F28A4"/>
    <w:rsid w:val="007F3DAE"/>
    <w:rsid w:val="007F52A6"/>
    <w:rsid w:val="007F68C5"/>
    <w:rsid w:val="007F743E"/>
    <w:rsid w:val="00800E26"/>
    <w:rsid w:val="00810BF4"/>
    <w:rsid w:val="00812F4A"/>
    <w:rsid w:val="008152BA"/>
    <w:rsid w:val="00815DAE"/>
    <w:rsid w:val="0082288A"/>
    <w:rsid w:val="008248D7"/>
    <w:rsid w:val="00825C10"/>
    <w:rsid w:val="008262D5"/>
    <w:rsid w:val="008267FE"/>
    <w:rsid w:val="00833EFC"/>
    <w:rsid w:val="0083491E"/>
    <w:rsid w:val="0084560A"/>
    <w:rsid w:val="00845FF9"/>
    <w:rsid w:val="00846EE1"/>
    <w:rsid w:val="00851C9B"/>
    <w:rsid w:val="00854DF1"/>
    <w:rsid w:val="008552FA"/>
    <w:rsid w:val="00861639"/>
    <w:rsid w:val="00863407"/>
    <w:rsid w:val="00864364"/>
    <w:rsid w:val="0086459B"/>
    <w:rsid w:val="00867BF0"/>
    <w:rsid w:val="008748F5"/>
    <w:rsid w:val="00876FFA"/>
    <w:rsid w:val="00877BA5"/>
    <w:rsid w:val="008855EC"/>
    <w:rsid w:val="0089557B"/>
    <w:rsid w:val="00895C14"/>
    <w:rsid w:val="008975AD"/>
    <w:rsid w:val="008A015B"/>
    <w:rsid w:val="008A1FA6"/>
    <w:rsid w:val="008A3FC4"/>
    <w:rsid w:val="008A5646"/>
    <w:rsid w:val="008B0372"/>
    <w:rsid w:val="008B2163"/>
    <w:rsid w:val="008B381D"/>
    <w:rsid w:val="008B7187"/>
    <w:rsid w:val="008C103F"/>
    <w:rsid w:val="008C1046"/>
    <w:rsid w:val="008C1FAF"/>
    <w:rsid w:val="008C45BF"/>
    <w:rsid w:val="008C4889"/>
    <w:rsid w:val="008D1CF3"/>
    <w:rsid w:val="008D24C9"/>
    <w:rsid w:val="008D5C4F"/>
    <w:rsid w:val="008E0DF9"/>
    <w:rsid w:val="008E0E79"/>
    <w:rsid w:val="008E124C"/>
    <w:rsid w:val="008E1A5B"/>
    <w:rsid w:val="008E3995"/>
    <w:rsid w:val="008E5A29"/>
    <w:rsid w:val="008F17F4"/>
    <w:rsid w:val="008F4F45"/>
    <w:rsid w:val="008F6A55"/>
    <w:rsid w:val="00903846"/>
    <w:rsid w:val="009044F8"/>
    <w:rsid w:val="00910A34"/>
    <w:rsid w:val="00913F40"/>
    <w:rsid w:val="0091421C"/>
    <w:rsid w:val="00914775"/>
    <w:rsid w:val="00915E11"/>
    <w:rsid w:val="00916421"/>
    <w:rsid w:val="00916C9F"/>
    <w:rsid w:val="009217B8"/>
    <w:rsid w:val="00924F7B"/>
    <w:rsid w:val="0093374E"/>
    <w:rsid w:val="00933A34"/>
    <w:rsid w:val="00933EEA"/>
    <w:rsid w:val="00934408"/>
    <w:rsid w:val="009411D6"/>
    <w:rsid w:val="0094318F"/>
    <w:rsid w:val="009434A4"/>
    <w:rsid w:val="00943EFD"/>
    <w:rsid w:val="00944AAC"/>
    <w:rsid w:val="009500D6"/>
    <w:rsid w:val="009507F0"/>
    <w:rsid w:val="00950FA1"/>
    <w:rsid w:val="00951C50"/>
    <w:rsid w:val="00951CCE"/>
    <w:rsid w:val="00955611"/>
    <w:rsid w:val="00957200"/>
    <w:rsid w:val="00971C0C"/>
    <w:rsid w:val="0097590B"/>
    <w:rsid w:val="00980C76"/>
    <w:rsid w:val="00981154"/>
    <w:rsid w:val="0098212C"/>
    <w:rsid w:val="00982222"/>
    <w:rsid w:val="00984201"/>
    <w:rsid w:val="00984848"/>
    <w:rsid w:val="009861B1"/>
    <w:rsid w:val="00991B88"/>
    <w:rsid w:val="009A6979"/>
    <w:rsid w:val="009A721F"/>
    <w:rsid w:val="009A761E"/>
    <w:rsid w:val="009B2F48"/>
    <w:rsid w:val="009B6578"/>
    <w:rsid w:val="009C2EA4"/>
    <w:rsid w:val="009C6392"/>
    <w:rsid w:val="009C69C7"/>
    <w:rsid w:val="009D020B"/>
    <w:rsid w:val="009D119C"/>
    <w:rsid w:val="009D39A5"/>
    <w:rsid w:val="009D47A0"/>
    <w:rsid w:val="009D5C67"/>
    <w:rsid w:val="009E0A20"/>
    <w:rsid w:val="009E1D96"/>
    <w:rsid w:val="009E200C"/>
    <w:rsid w:val="009E4E04"/>
    <w:rsid w:val="009E50B8"/>
    <w:rsid w:val="009E530D"/>
    <w:rsid w:val="009F06BE"/>
    <w:rsid w:val="009F7138"/>
    <w:rsid w:val="00A02F69"/>
    <w:rsid w:val="00A045B0"/>
    <w:rsid w:val="00A04F1D"/>
    <w:rsid w:val="00A0577B"/>
    <w:rsid w:val="00A05F6A"/>
    <w:rsid w:val="00A06691"/>
    <w:rsid w:val="00A11ED8"/>
    <w:rsid w:val="00A1451A"/>
    <w:rsid w:val="00A14A61"/>
    <w:rsid w:val="00A17431"/>
    <w:rsid w:val="00A22F69"/>
    <w:rsid w:val="00A23E83"/>
    <w:rsid w:val="00A25B66"/>
    <w:rsid w:val="00A2656D"/>
    <w:rsid w:val="00A301FC"/>
    <w:rsid w:val="00A30521"/>
    <w:rsid w:val="00A33496"/>
    <w:rsid w:val="00A33D77"/>
    <w:rsid w:val="00A34A92"/>
    <w:rsid w:val="00A363FB"/>
    <w:rsid w:val="00A3679F"/>
    <w:rsid w:val="00A416DD"/>
    <w:rsid w:val="00A41A40"/>
    <w:rsid w:val="00A427F4"/>
    <w:rsid w:val="00A44227"/>
    <w:rsid w:val="00A44AD3"/>
    <w:rsid w:val="00A456CD"/>
    <w:rsid w:val="00A472C3"/>
    <w:rsid w:val="00A5281E"/>
    <w:rsid w:val="00A57CD5"/>
    <w:rsid w:val="00A57F9F"/>
    <w:rsid w:val="00A61C7D"/>
    <w:rsid w:val="00A64D1C"/>
    <w:rsid w:val="00A75116"/>
    <w:rsid w:val="00A76ECA"/>
    <w:rsid w:val="00A77599"/>
    <w:rsid w:val="00A81B38"/>
    <w:rsid w:val="00A83B5A"/>
    <w:rsid w:val="00A8544A"/>
    <w:rsid w:val="00A863AF"/>
    <w:rsid w:val="00A9136D"/>
    <w:rsid w:val="00A96289"/>
    <w:rsid w:val="00A97036"/>
    <w:rsid w:val="00AA6927"/>
    <w:rsid w:val="00AA6E06"/>
    <w:rsid w:val="00AB0823"/>
    <w:rsid w:val="00AB140B"/>
    <w:rsid w:val="00AB1CC0"/>
    <w:rsid w:val="00AB355C"/>
    <w:rsid w:val="00AB5216"/>
    <w:rsid w:val="00AC25C2"/>
    <w:rsid w:val="00AC2F96"/>
    <w:rsid w:val="00AC7712"/>
    <w:rsid w:val="00AD0D6D"/>
    <w:rsid w:val="00AD1117"/>
    <w:rsid w:val="00AD3101"/>
    <w:rsid w:val="00AD3490"/>
    <w:rsid w:val="00AD3EFD"/>
    <w:rsid w:val="00AD794B"/>
    <w:rsid w:val="00AE2D87"/>
    <w:rsid w:val="00AE3A3B"/>
    <w:rsid w:val="00AE4753"/>
    <w:rsid w:val="00AE4DE9"/>
    <w:rsid w:val="00AE595F"/>
    <w:rsid w:val="00AF1D28"/>
    <w:rsid w:val="00AF481D"/>
    <w:rsid w:val="00AF5DAE"/>
    <w:rsid w:val="00AF76A9"/>
    <w:rsid w:val="00B02E4D"/>
    <w:rsid w:val="00B04B36"/>
    <w:rsid w:val="00B06A93"/>
    <w:rsid w:val="00B12452"/>
    <w:rsid w:val="00B13ACD"/>
    <w:rsid w:val="00B143A0"/>
    <w:rsid w:val="00B14C58"/>
    <w:rsid w:val="00B1646B"/>
    <w:rsid w:val="00B24274"/>
    <w:rsid w:val="00B248D3"/>
    <w:rsid w:val="00B30A97"/>
    <w:rsid w:val="00B343C1"/>
    <w:rsid w:val="00B36A36"/>
    <w:rsid w:val="00B42E07"/>
    <w:rsid w:val="00B47023"/>
    <w:rsid w:val="00B47EB2"/>
    <w:rsid w:val="00B54240"/>
    <w:rsid w:val="00B5562C"/>
    <w:rsid w:val="00B6268D"/>
    <w:rsid w:val="00B65F7B"/>
    <w:rsid w:val="00B6695D"/>
    <w:rsid w:val="00B672BD"/>
    <w:rsid w:val="00B70EF3"/>
    <w:rsid w:val="00B727F7"/>
    <w:rsid w:val="00B7433E"/>
    <w:rsid w:val="00B77275"/>
    <w:rsid w:val="00B8255B"/>
    <w:rsid w:val="00B9122B"/>
    <w:rsid w:val="00B91730"/>
    <w:rsid w:val="00B9317B"/>
    <w:rsid w:val="00BA34A9"/>
    <w:rsid w:val="00BA38D9"/>
    <w:rsid w:val="00BA4F91"/>
    <w:rsid w:val="00BB1535"/>
    <w:rsid w:val="00BB2476"/>
    <w:rsid w:val="00BB4BCC"/>
    <w:rsid w:val="00BB4EAF"/>
    <w:rsid w:val="00BB71B1"/>
    <w:rsid w:val="00BB7A10"/>
    <w:rsid w:val="00BC1423"/>
    <w:rsid w:val="00BC26FD"/>
    <w:rsid w:val="00BC42F2"/>
    <w:rsid w:val="00BC4EBC"/>
    <w:rsid w:val="00BC539A"/>
    <w:rsid w:val="00BC5CEE"/>
    <w:rsid w:val="00BC6C19"/>
    <w:rsid w:val="00BD087D"/>
    <w:rsid w:val="00BD793F"/>
    <w:rsid w:val="00BE0F13"/>
    <w:rsid w:val="00BE4C86"/>
    <w:rsid w:val="00BE628C"/>
    <w:rsid w:val="00BE68AD"/>
    <w:rsid w:val="00BE6BC4"/>
    <w:rsid w:val="00BE6E91"/>
    <w:rsid w:val="00BE7ABF"/>
    <w:rsid w:val="00BE7DBB"/>
    <w:rsid w:val="00BE7DC7"/>
    <w:rsid w:val="00BF040C"/>
    <w:rsid w:val="00BF0A3B"/>
    <w:rsid w:val="00BF0F24"/>
    <w:rsid w:val="00C01862"/>
    <w:rsid w:val="00C03CD1"/>
    <w:rsid w:val="00C06500"/>
    <w:rsid w:val="00C074AE"/>
    <w:rsid w:val="00C118E0"/>
    <w:rsid w:val="00C12151"/>
    <w:rsid w:val="00C12A0D"/>
    <w:rsid w:val="00C1508E"/>
    <w:rsid w:val="00C165C8"/>
    <w:rsid w:val="00C229C6"/>
    <w:rsid w:val="00C268BF"/>
    <w:rsid w:val="00C307D2"/>
    <w:rsid w:val="00C3357C"/>
    <w:rsid w:val="00C36CFF"/>
    <w:rsid w:val="00C3780C"/>
    <w:rsid w:val="00C4771F"/>
    <w:rsid w:val="00C52144"/>
    <w:rsid w:val="00C52B18"/>
    <w:rsid w:val="00C63A21"/>
    <w:rsid w:val="00C64852"/>
    <w:rsid w:val="00C66FBF"/>
    <w:rsid w:val="00C86A79"/>
    <w:rsid w:val="00C93221"/>
    <w:rsid w:val="00C943A4"/>
    <w:rsid w:val="00C9639C"/>
    <w:rsid w:val="00CA15D9"/>
    <w:rsid w:val="00CA21BE"/>
    <w:rsid w:val="00CA7D2B"/>
    <w:rsid w:val="00CA7DF5"/>
    <w:rsid w:val="00CB4CF3"/>
    <w:rsid w:val="00CB524C"/>
    <w:rsid w:val="00CB5303"/>
    <w:rsid w:val="00CB5667"/>
    <w:rsid w:val="00CB7092"/>
    <w:rsid w:val="00CC586E"/>
    <w:rsid w:val="00CC6B21"/>
    <w:rsid w:val="00CD10D3"/>
    <w:rsid w:val="00CD2500"/>
    <w:rsid w:val="00CD5235"/>
    <w:rsid w:val="00CD5DD4"/>
    <w:rsid w:val="00CD72A3"/>
    <w:rsid w:val="00CE5AEF"/>
    <w:rsid w:val="00CF2AE7"/>
    <w:rsid w:val="00CF42B9"/>
    <w:rsid w:val="00D00063"/>
    <w:rsid w:val="00D07183"/>
    <w:rsid w:val="00D0757F"/>
    <w:rsid w:val="00D125B9"/>
    <w:rsid w:val="00D13179"/>
    <w:rsid w:val="00D17443"/>
    <w:rsid w:val="00D25AF9"/>
    <w:rsid w:val="00D3149B"/>
    <w:rsid w:val="00D32D28"/>
    <w:rsid w:val="00D36A01"/>
    <w:rsid w:val="00D40A93"/>
    <w:rsid w:val="00D42443"/>
    <w:rsid w:val="00D42BA1"/>
    <w:rsid w:val="00D43307"/>
    <w:rsid w:val="00D51809"/>
    <w:rsid w:val="00D5274E"/>
    <w:rsid w:val="00D533EC"/>
    <w:rsid w:val="00D53C99"/>
    <w:rsid w:val="00D573E2"/>
    <w:rsid w:val="00D576A4"/>
    <w:rsid w:val="00D63536"/>
    <w:rsid w:val="00D652B1"/>
    <w:rsid w:val="00D67282"/>
    <w:rsid w:val="00D712ED"/>
    <w:rsid w:val="00D7633A"/>
    <w:rsid w:val="00D80445"/>
    <w:rsid w:val="00D8146A"/>
    <w:rsid w:val="00D857E8"/>
    <w:rsid w:val="00D940AB"/>
    <w:rsid w:val="00DA4B78"/>
    <w:rsid w:val="00DA6211"/>
    <w:rsid w:val="00DA6863"/>
    <w:rsid w:val="00DB3492"/>
    <w:rsid w:val="00DB4F79"/>
    <w:rsid w:val="00DB512E"/>
    <w:rsid w:val="00DB59BB"/>
    <w:rsid w:val="00DB64C7"/>
    <w:rsid w:val="00DC1257"/>
    <w:rsid w:val="00DC2A1C"/>
    <w:rsid w:val="00DC3E1F"/>
    <w:rsid w:val="00DC7711"/>
    <w:rsid w:val="00DD157A"/>
    <w:rsid w:val="00DD1E27"/>
    <w:rsid w:val="00DD53DF"/>
    <w:rsid w:val="00DD758F"/>
    <w:rsid w:val="00DE1CBA"/>
    <w:rsid w:val="00DE6567"/>
    <w:rsid w:val="00DF06F0"/>
    <w:rsid w:val="00DF1C6C"/>
    <w:rsid w:val="00DF3A17"/>
    <w:rsid w:val="00DF5798"/>
    <w:rsid w:val="00DF6A55"/>
    <w:rsid w:val="00DF7141"/>
    <w:rsid w:val="00DF72CA"/>
    <w:rsid w:val="00E01DFF"/>
    <w:rsid w:val="00E04E99"/>
    <w:rsid w:val="00E0570B"/>
    <w:rsid w:val="00E13B13"/>
    <w:rsid w:val="00E144FB"/>
    <w:rsid w:val="00E15ED1"/>
    <w:rsid w:val="00E2629E"/>
    <w:rsid w:val="00E279D7"/>
    <w:rsid w:val="00E41838"/>
    <w:rsid w:val="00E43A0A"/>
    <w:rsid w:val="00E43D3A"/>
    <w:rsid w:val="00E4573A"/>
    <w:rsid w:val="00E50B93"/>
    <w:rsid w:val="00E53455"/>
    <w:rsid w:val="00E53C3C"/>
    <w:rsid w:val="00E571C2"/>
    <w:rsid w:val="00E6170B"/>
    <w:rsid w:val="00E62BFC"/>
    <w:rsid w:val="00E62C7D"/>
    <w:rsid w:val="00E707CA"/>
    <w:rsid w:val="00E70EC2"/>
    <w:rsid w:val="00E744C2"/>
    <w:rsid w:val="00E773E2"/>
    <w:rsid w:val="00E84E60"/>
    <w:rsid w:val="00E865ED"/>
    <w:rsid w:val="00E86B52"/>
    <w:rsid w:val="00E903A0"/>
    <w:rsid w:val="00E90BB7"/>
    <w:rsid w:val="00E915B6"/>
    <w:rsid w:val="00E921D0"/>
    <w:rsid w:val="00E924F4"/>
    <w:rsid w:val="00E927DD"/>
    <w:rsid w:val="00E92ABC"/>
    <w:rsid w:val="00EA0483"/>
    <w:rsid w:val="00EA4D18"/>
    <w:rsid w:val="00EB56B4"/>
    <w:rsid w:val="00EB6E3F"/>
    <w:rsid w:val="00EC4F41"/>
    <w:rsid w:val="00EC5330"/>
    <w:rsid w:val="00EC691C"/>
    <w:rsid w:val="00EC6E76"/>
    <w:rsid w:val="00EC7349"/>
    <w:rsid w:val="00ED3368"/>
    <w:rsid w:val="00ED3D25"/>
    <w:rsid w:val="00ED3FD8"/>
    <w:rsid w:val="00ED4E2E"/>
    <w:rsid w:val="00EE61C6"/>
    <w:rsid w:val="00EF2A67"/>
    <w:rsid w:val="00EF2B07"/>
    <w:rsid w:val="00EF342E"/>
    <w:rsid w:val="00EF51F3"/>
    <w:rsid w:val="00F001F8"/>
    <w:rsid w:val="00F014FF"/>
    <w:rsid w:val="00F01907"/>
    <w:rsid w:val="00F04966"/>
    <w:rsid w:val="00F11D44"/>
    <w:rsid w:val="00F13D91"/>
    <w:rsid w:val="00F13FC2"/>
    <w:rsid w:val="00F16B21"/>
    <w:rsid w:val="00F237C2"/>
    <w:rsid w:val="00F24407"/>
    <w:rsid w:val="00F25B0F"/>
    <w:rsid w:val="00F317EB"/>
    <w:rsid w:val="00F3239C"/>
    <w:rsid w:val="00F3496C"/>
    <w:rsid w:val="00F35CE1"/>
    <w:rsid w:val="00F436A2"/>
    <w:rsid w:val="00F44100"/>
    <w:rsid w:val="00F46366"/>
    <w:rsid w:val="00F5041F"/>
    <w:rsid w:val="00F50C28"/>
    <w:rsid w:val="00F53C87"/>
    <w:rsid w:val="00F54FAB"/>
    <w:rsid w:val="00F60C09"/>
    <w:rsid w:val="00F61756"/>
    <w:rsid w:val="00F64661"/>
    <w:rsid w:val="00F653C7"/>
    <w:rsid w:val="00F70210"/>
    <w:rsid w:val="00F70B1C"/>
    <w:rsid w:val="00F7136E"/>
    <w:rsid w:val="00F72F74"/>
    <w:rsid w:val="00F73E3B"/>
    <w:rsid w:val="00F743AD"/>
    <w:rsid w:val="00F801CD"/>
    <w:rsid w:val="00F8241B"/>
    <w:rsid w:val="00F847B9"/>
    <w:rsid w:val="00F871C3"/>
    <w:rsid w:val="00F93D4D"/>
    <w:rsid w:val="00FA0C47"/>
    <w:rsid w:val="00FA266A"/>
    <w:rsid w:val="00FA2DB4"/>
    <w:rsid w:val="00FA3812"/>
    <w:rsid w:val="00FA41DD"/>
    <w:rsid w:val="00FA4AAB"/>
    <w:rsid w:val="00FA6B54"/>
    <w:rsid w:val="00FB0B0F"/>
    <w:rsid w:val="00FB7592"/>
    <w:rsid w:val="00FC27C5"/>
    <w:rsid w:val="00FD0A8D"/>
    <w:rsid w:val="00FD5F1B"/>
    <w:rsid w:val="00FE08A9"/>
    <w:rsid w:val="00FE1EE7"/>
    <w:rsid w:val="00FE3A69"/>
    <w:rsid w:val="00FE3D4F"/>
    <w:rsid w:val="00FF2437"/>
    <w:rsid w:val="00FF3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2925D"/>
  <w15:docId w15:val="{0F3E0C6D-ECED-4726-AEA4-A2BCD965D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2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212C"/>
    <w:rPr>
      <w:color w:val="0000FF" w:themeColor="hyperlink"/>
      <w:u w:val="single"/>
    </w:rPr>
  </w:style>
  <w:style w:type="character" w:styleId="FollowedHyperlink">
    <w:name w:val="FollowedHyperlink"/>
    <w:basedOn w:val="DefaultParagraphFont"/>
    <w:uiPriority w:val="99"/>
    <w:semiHidden/>
    <w:unhideWhenUsed/>
    <w:rsid w:val="00EF51F3"/>
    <w:rPr>
      <w:color w:val="800080" w:themeColor="followedHyperlink"/>
      <w:u w:val="single"/>
    </w:rPr>
  </w:style>
  <w:style w:type="paragraph" w:styleId="ListParagraph">
    <w:name w:val="List Paragraph"/>
    <w:basedOn w:val="Normal"/>
    <w:uiPriority w:val="34"/>
    <w:qFormat/>
    <w:rsid w:val="00152E99"/>
    <w:pPr>
      <w:ind w:left="720"/>
      <w:contextualSpacing/>
    </w:pPr>
  </w:style>
  <w:style w:type="paragraph" w:styleId="Header">
    <w:name w:val="header"/>
    <w:basedOn w:val="Normal"/>
    <w:link w:val="HeaderChar"/>
    <w:uiPriority w:val="99"/>
    <w:unhideWhenUsed/>
    <w:rsid w:val="00152E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E99"/>
  </w:style>
  <w:style w:type="paragraph" w:styleId="Footer">
    <w:name w:val="footer"/>
    <w:basedOn w:val="Normal"/>
    <w:link w:val="FooterChar"/>
    <w:uiPriority w:val="99"/>
    <w:unhideWhenUsed/>
    <w:rsid w:val="00152E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E99"/>
  </w:style>
  <w:style w:type="character" w:styleId="CommentReference">
    <w:name w:val="annotation reference"/>
    <w:basedOn w:val="DefaultParagraphFont"/>
    <w:uiPriority w:val="99"/>
    <w:semiHidden/>
    <w:unhideWhenUsed/>
    <w:rsid w:val="00924F7B"/>
    <w:rPr>
      <w:sz w:val="16"/>
      <w:szCs w:val="16"/>
    </w:rPr>
  </w:style>
  <w:style w:type="paragraph" w:styleId="CommentText">
    <w:name w:val="annotation text"/>
    <w:basedOn w:val="Normal"/>
    <w:link w:val="CommentTextChar"/>
    <w:uiPriority w:val="99"/>
    <w:semiHidden/>
    <w:unhideWhenUsed/>
    <w:rsid w:val="00924F7B"/>
    <w:pPr>
      <w:spacing w:line="240" w:lineRule="auto"/>
    </w:pPr>
    <w:rPr>
      <w:sz w:val="20"/>
      <w:szCs w:val="20"/>
    </w:rPr>
  </w:style>
  <w:style w:type="character" w:customStyle="1" w:styleId="CommentTextChar">
    <w:name w:val="Comment Text Char"/>
    <w:basedOn w:val="DefaultParagraphFont"/>
    <w:link w:val="CommentText"/>
    <w:uiPriority w:val="99"/>
    <w:semiHidden/>
    <w:rsid w:val="00924F7B"/>
    <w:rPr>
      <w:sz w:val="20"/>
      <w:szCs w:val="20"/>
    </w:rPr>
  </w:style>
  <w:style w:type="paragraph" w:styleId="CommentSubject">
    <w:name w:val="annotation subject"/>
    <w:basedOn w:val="CommentText"/>
    <w:next w:val="CommentText"/>
    <w:link w:val="CommentSubjectChar"/>
    <w:uiPriority w:val="99"/>
    <w:semiHidden/>
    <w:unhideWhenUsed/>
    <w:rsid w:val="00924F7B"/>
    <w:rPr>
      <w:b/>
      <w:bCs/>
    </w:rPr>
  </w:style>
  <w:style w:type="character" w:customStyle="1" w:styleId="CommentSubjectChar">
    <w:name w:val="Comment Subject Char"/>
    <w:basedOn w:val="CommentTextChar"/>
    <w:link w:val="CommentSubject"/>
    <w:uiPriority w:val="99"/>
    <w:semiHidden/>
    <w:rsid w:val="00924F7B"/>
    <w:rPr>
      <w:b/>
      <w:bCs/>
      <w:sz w:val="20"/>
      <w:szCs w:val="20"/>
    </w:rPr>
  </w:style>
  <w:style w:type="paragraph" w:styleId="BalloonText">
    <w:name w:val="Balloon Text"/>
    <w:basedOn w:val="Normal"/>
    <w:link w:val="BalloonTextChar"/>
    <w:uiPriority w:val="99"/>
    <w:semiHidden/>
    <w:unhideWhenUsed/>
    <w:rsid w:val="00924F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F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756110">
      <w:bodyDiv w:val="1"/>
      <w:marLeft w:val="0"/>
      <w:marRight w:val="0"/>
      <w:marTop w:val="0"/>
      <w:marBottom w:val="0"/>
      <w:divBdr>
        <w:top w:val="none" w:sz="0" w:space="0" w:color="auto"/>
        <w:left w:val="none" w:sz="0" w:space="0" w:color="auto"/>
        <w:bottom w:val="none" w:sz="0" w:space="0" w:color="auto"/>
        <w:right w:val="none" w:sz="0" w:space="0" w:color="auto"/>
      </w:divBdr>
      <w:divsChild>
        <w:div w:id="544829995">
          <w:marLeft w:val="0"/>
          <w:marRight w:val="0"/>
          <w:marTop w:val="0"/>
          <w:marBottom w:val="0"/>
          <w:divBdr>
            <w:top w:val="none" w:sz="0" w:space="0" w:color="auto"/>
            <w:left w:val="none" w:sz="0" w:space="0" w:color="auto"/>
            <w:bottom w:val="none" w:sz="0" w:space="0" w:color="auto"/>
            <w:right w:val="none" w:sz="0" w:space="0" w:color="auto"/>
          </w:divBdr>
        </w:div>
        <w:div w:id="344131456">
          <w:marLeft w:val="0"/>
          <w:marRight w:val="0"/>
          <w:marTop w:val="0"/>
          <w:marBottom w:val="0"/>
          <w:divBdr>
            <w:top w:val="none" w:sz="0" w:space="0" w:color="auto"/>
            <w:left w:val="none" w:sz="0" w:space="0" w:color="auto"/>
            <w:bottom w:val="none" w:sz="0" w:space="0" w:color="auto"/>
            <w:right w:val="none" w:sz="0" w:space="0" w:color="auto"/>
          </w:divBdr>
        </w:div>
        <w:div w:id="888489677">
          <w:marLeft w:val="0"/>
          <w:marRight w:val="0"/>
          <w:marTop w:val="0"/>
          <w:marBottom w:val="0"/>
          <w:divBdr>
            <w:top w:val="none" w:sz="0" w:space="0" w:color="auto"/>
            <w:left w:val="none" w:sz="0" w:space="0" w:color="auto"/>
            <w:bottom w:val="none" w:sz="0" w:space="0" w:color="auto"/>
            <w:right w:val="none" w:sz="0" w:space="0" w:color="auto"/>
          </w:divBdr>
        </w:div>
        <w:div w:id="831916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endowmentfoundation.org.uk/public/files/Publications/Maths/KS2_KS3_Maths_Guidance_2017.pdf" TargetMode="External"/><Relationship Id="rId18" Type="http://schemas.openxmlformats.org/officeDocument/2006/relationships/hyperlink" Target="https://educationendowmentfoundation.org.uk/public/files/Publications/SEL/EEF_Social_and_Emotional_Learning.pdf" TargetMode="External"/><Relationship Id="rId26" Type="http://schemas.openxmlformats.org/officeDocument/2006/relationships/hyperlink" Target="https://educationendowmentfoundation.org.uk/education-evidence/teaching-learning-toolkit/teaching-assistant-interventions" TargetMode="External"/><Relationship Id="rId21" Type="http://schemas.openxmlformats.org/officeDocument/2006/relationships/hyperlink" Target="https://educationendowmentfoundation.org.uk/education-evidence/teaching-learning-toolkit/metacognition-and-self-regulation" TargetMode="External"/><Relationship Id="rId34" Type="http://schemas.openxmlformats.org/officeDocument/2006/relationships/hyperlink" Target="https://v2.educationendowmentfoundation.org.uk/tools/families-of-schools-database/sandal-castle-va-community-primary-school-wf2-6as" TargetMode="External"/><Relationship Id="rId7" Type="http://schemas.openxmlformats.org/officeDocument/2006/relationships/image" Target="media/image1.jpg"/><Relationship Id="rId12" Type="http://schemas.openxmlformats.org/officeDocument/2006/relationships/hyperlink" Target="https://assets.publishing.service.gov.uk/government/uploads/system/uploads/attachment_data/file/897806/Maths_guidance_KS_1_and_2.pdf" TargetMode="External"/><Relationship Id="rId17" Type="http://schemas.openxmlformats.org/officeDocument/2006/relationships/hyperlink" Target="https://educationendowmentfoundation.org.uk/news/using-storybooks-to-promote-high-quality-talk-in-maths" TargetMode="External"/><Relationship Id="rId25" Type="http://schemas.openxmlformats.org/officeDocument/2006/relationships/hyperlink" Target="https://educationendowmentfoundation.org.uk/evidence-summaries/teaching-learning-toolkit/phonics/" TargetMode="External"/><Relationship Id="rId33" Type="http://schemas.openxmlformats.org/officeDocument/2006/relationships/hyperlink" Target="https://www.gov.uk/guidance/senior-mental-health-lead-trainin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ducationendowmentfoundation.org.uk/news/eef-blog-told-four-evidence-informed-principles-to-promote-high-quality-talk-in-maths" TargetMode="External"/><Relationship Id="rId20" Type="http://schemas.openxmlformats.org/officeDocument/2006/relationships/hyperlink" Target="https://www.nurtureuk.org/what-we-do/awards/the-marjorie-boxall-quality-mark-award/" TargetMode="External"/><Relationship Id="rId29" Type="http://schemas.openxmlformats.org/officeDocument/2006/relationships/hyperlink" Target="https://www.gov.uk/guidance/senior-mental-health-lead-train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vidence-summaries/teaching-learning-toolkit/phonics/" TargetMode="External"/><Relationship Id="rId24" Type="http://schemas.openxmlformats.org/officeDocument/2006/relationships/hyperlink" Target="https://educationendowmentfoundation.org.uk/education-evidence/teaching-learning-toolkit/oral-language-interventions" TargetMode="External"/><Relationship Id="rId32" Type="http://schemas.openxmlformats.org/officeDocument/2006/relationships/hyperlink" Target="https://educationendowmentfoundation.org.uk/education-evidence/teaching-learning-toolkit/feedback"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ducationendowmentfoundation.org.uk/education-evidence/teaching-learning-toolkit/mastery-learning" TargetMode="External"/><Relationship Id="rId23" Type="http://schemas.openxmlformats.org/officeDocument/2006/relationships/hyperlink" Target="https://educationendowmentfoundation.org.uk/public/files/Publications/SEL/EEF_Social_and_Emotional_Learning.pdf" TargetMode="External"/><Relationship Id="rId28" Type="http://schemas.openxmlformats.org/officeDocument/2006/relationships/hyperlink" Target="https://www.gov.uk/government/publications/school-attendance/framework-for-securing-full-attendance-actions-for-schools-and-local-authorities" TargetMode="External"/><Relationship Id="rId36" Type="http://schemas.openxmlformats.org/officeDocument/2006/relationships/footer" Target="footer1.xml"/><Relationship Id="rId10" Type="http://schemas.openxmlformats.org/officeDocument/2006/relationships/hyperlink" Target="https://www.gov.uk/government/publications/choosing-a-phonics-teaching-programme" TargetMode="External"/><Relationship Id="rId19" Type="http://schemas.openxmlformats.org/officeDocument/2006/relationships/hyperlink" Target="https://www.nurtureuk.org/" TargetMode="External"/><Relationship Id="rId31" Type="http://schemas.openxmlformats.org/officeDocument/2006/relationships/hyperlink" Target="https://educationendowmentfoundation.org.uk/education-evidence/teaching-learning-toolkit/behaviour-interventions" TargetMode="External"/><Relationship Id="rId4" Type="http://schemas.openxmlformats.org/officeDocument/2006/relationships/webSettings" Target="webSettings.xml"/><Relationship Id="rId9" Type="http://schemas.openxmlformats.org/officeDocument/2006/relationships/hyperlink" Target="https://educationendowmentfoundation.org.uk/projects-and-evaluation/projects/nuffield-early-language-intervention" TargetMode="External"/><Relationship Id="rId14" Type="http://schemas.openxmlformats.org/officeDocument/2006/relationships/hyperlink" Target="https://educationendowmentfoundation.org.uk/education-evidence/guidance-reports/maths-ks-2-3" TargetMode="External"/><Relationship Id="rId22" Type="http://schemas.openxmlformats.org/officeDocument/2006/relationships/hyperlink" Target="https://educationendowmentfoundation.org.uk/education-evidence/teaching-learning-toolkit/social-and-emotional-learning" TargetMode="External"/><Relationship Id="rId27" Type="http://schemas.openxmlformats.org/officeDocument/2006/relationships/hyperlink" Target="https://educationendowmentfoundation.org.uk/education-evidence/teaching-learning-toolkit/behaviour-interventions" TargetMode="External"/><Relationship Id="rId30" Type="http://schemas.openxmlformats.org/officeDocument/2006/relationships/hyperlink" Target="https://educationendowmentfoundation.org.uk/public/files/Publications/SEL/EEF_Social_and_Emotional_Learning.pdf" TargetMode="External"/><Relationship Id="rId35" Type="http://schemas.openxmlformats.org/officeDocument/2006/relationships/hyperlink" Target="https://educationendowmentfoundation.org.uk/education-evidence/guidance-reports/implementation" TargetMode="External"/><Relationship Id="rId8" Type="http://schemas.openxmlformats.org/officeDocument/2006/relationships/hyperlink" Target="https://educationendowmentfoundation.org.uk/evidence-summaries/teaching-learning-toolkit/oral-language-intervention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4814</Words>
  <Characters>27441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WMDC</Company>
  <LinksUpToDate>false</LinksUpToDate>
  <CharactersWithSpaces>32191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Moira Hunt</cp:lastModifiedBy>
  <cp:revision>3</cp:revision>
  <dcterms:created xsi:type="dcterms:W3CDTF">2023-01-13T17:21:00Z</dcterms:created>
  <dcterms:modified xsi:type="dcterms:W3CDTF">2023-01-19T17:02:00Z</dcterms:modified>
</cp:coreProperties>
</file>